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729F7" w14:textId="1A1C1DD2" w:rsidR="003B6D50" w:rsidRPr="00F8177B" w:rsidRDefault="006D29C7" w:rsidP="000F2F1A">
      <w:pPr>
        <w:pStyle w:val="Title"/>
      </w:pPr>
      <w:r w:rsidRPr="00F8177B">
        <w:t>Legal Framework for Impact</w:t>
      </w:r>
    </w:p>
    <w:p w14:paraId="1DE1A68C" w14:textId="4592AEC1" w:rsidR="003B6D50" w:rsidRPr="00F8177B" w:rsidRDefault="006D29C7" w:rsidP="004C58E0">
      <w:pPr>
        <w:pStyle w:val="BodyText"/>
        <w:rPr>
          <w:b/>
          <w:bCs/>
          <w:color w:val="5B9BD5" w:themeColor="accent5"/>
          <w:sz w:val="36"/>
          <w:szCs w:val="36"/>
        </w:rPr>
      </w:pPr>
      <w:bookmarkStart w:id="0" w:name="_Toc153197102"/>
      <w:bookmarkStart w:id="1" w:name="_Toc68692228"/>
      <w:bookmarkStart w:id="2" w:name="_Toc68688500"/>
      <w:bookmarkStart w:id="3" w:name="_Toc68688369"/>
      <w:bookmarkStart w:id="4" w:name="_Toc68674213"/>
      <w:bookmarkStart w:id="5" w:name="_Toc64884491"/>
      <w:r w:rsidRPr="00F8177B">
        <w:rPr>
          <w:b/>
          <w:bCs/>
          <w:color w:val="5B9BD5" w:themeColor="accent5"/>
          <w:sz w:val="36"/>
          <w:szCs w:val="36"/>
        </w:rPr>
        <w:t>C</w:t>
      </w:r>
      <w:r w:rsidR="00036DE1" w:rsidRPr="00F8177B">
        <w:rPr>
          <w:b/>
          <w:bCs/>
          <w:color w:val="5B9BD5" w:themeColor="accent5"/>
          <w:sz w:val="36"/>
          <w:szCs w:val="36"/>
        </w:rPr>
        <w:t>ollaborati</w:t>
      </w:r>
      <w:r w:rsidRPr="00F8177B">
        <w:rPr>
          <w:b/>
          <w:bCs/>
          <w:color w:val="5B9BD5" w:themeColor="accent5"/>
          <w:sz w:val="36"/>
          <w:szCs w:val="36"/>
        </w:rPr>
        <w:t>ve action policy b</w:t>
      </w:r>
      <w:r w:rsidR="00CF6ED1" w:rsidRPr="00F8177B">
        <w:rPr>
          <w:b/>
          <w:bCs/>
          <w:color w:val="5B9BD5" w:themeColor="accent5"/>
          <w:sz w:val="36"/>
          <w:szCs w:val="36"/>
        </w:rPr>
        <w:t>r</w:t>
      </w:r>
      <w:r w:rsidRPr="00F8177B">
        <w:rPr>
          <w:b/>
          <w:bCs/>
          <w:color w:val="5B9BD5" w:themeColor="accent5"/>
          <w:sz w:val="36"/>
          <w:szCs w:val="36"/>
        </w:rPr>
        <w:t>iefing</w:t>
      </w:r>
      <w:bookmarkEnd w:id="0"/>
    </w:p>
    <w:p w14:paraId="74BF1D13" w14:textId="66370E7A" w:rsidR="003B6D50" w:rsidRPr="00F8177B" w:rsidRDefault="003B6D50" w:rsidP="000F2F1A"/>
    <w:p w14:paraId="62CB6866" w14:textId="77777777" w:rsidR="003B6D50" w:rsidRPr="00F8177B" w:rsidRDefault="003B6D50" w:rsidP="000F2F1A"/>
    <w:p w14:paraId="3070ECB1" w14:textId="25C14AA7" w:rsidR="003B6D50" w:rsidRPr="00F8177B" w:rsidRDefault="00EE235E" w:rsidP="000F2F1A">
      <w:r w:rsidRPr="00F8177B">
        <w:t>July</w:t>
      </w:r>
      <w:r w:rsidR="00170B9A" w:rsidRPr="00F8177B">
        <w:t xml:space="preserve"> 2024</w:t>
      </w:r>
    </w:p>
    <w:p w14:paraId="773521C2" w14:textId="77777777" w:rsidR="003B6D50" w:rsidRPr="00F8177B" w:rsidRDefault="003B6D50" w:rsidP="000F2F1A"/>
    <w:p w14:paraId="38E69625" w14:textId="68670BF6" w:rsidR="00B35FAE" w:rsidRPr="00F8177B" w:rsidRDefault="009477A3" w:rsidP="000F2F1A">
      <w:pPr>
        <w:rPr>
          <w:b/>
          <w:color w:val="FF0000"/>
          <w:sz w:val="24"/>
          <w:szCs w:val="24"/>
        </w:rPr>
      </w:pPr>
      <w:r w:rsidRPr="00F8177B">
        <w:rPr>
          <w:b/>
          <w:color w:val="FF0000"/>
          <w:sz w:val="24"/>
          <w:szCs w:val="24"/>
        </w:rPr>
        <w:t>DRAFT FOR COMMENTS</w:t>
      </w:r>
    </w:p>
    <w:p w14:paraId="4C5CF90D" w14:textId="77777777" w:rsidR="003B6D50" w:rsidRPr="00F8177B" w:rsidRDefault="003B6D50" w:rsidP="000F2F1A">
      <w:r w:rsidRPr="00F8177B">
        <w:rPr>
          <w:noProof/>
        </w:rPr>
        <mc:AlternateContent>
          <mc:Choice Requires="wps">
            <w:drawing>
              <wp:anchor distT="0" distB="0" distL="114300" distR="114300" simplePos="0" relativeHeight="251658240" behindDoc="0" locked="0" layoutInCell="1" allowOverlap="1" wp14:anchorId="259A7B8A" wp14:editId="164689F6">
                <wp:simplePos x="0" y="0"/>
                <wp:positionH relativeFrom="margin">
                  <wp:align>right</wp:align>
                </wp:positionH>
                <wp:positionV relativeFrom="paragraph">
                  <wp:posOffset>2512060</wp:posOffset>
                </wp:positionV>
                <wp:extent cx="6000750" cy="11404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6000750" cy="1140460"/>
                        </a:xfrm>
                        <a:prstGeom prst="rect">
                          <a:avLst/>
                        </a:prstGeom>
                        <a:solidFill>
                          <a:schemeClr val="lt1"/>
                        </a:solidFill>
                        <a:ln w="6350">
                          <a:noFill/>
                        </a:ln>
                      </wps:spPr>
                      <wps:txbx>
                        <w:txbxContent>
                          <w:p w14:paraId="02675508" w14:textId="77777777" w:rsidR="003D6876" w:rsidRPr="00A11278" w:rsidRDefault="003D6876" w:rsidP="000F2F1A">
                            <w:pPr>
                              <w:rPr>
                                <w:color w:val="767171" w:themeColor="background2" w:themeShade="80"/>
                                <w:sz w:val="16"/>
                                <w:szCs w:val="16"/>
                                <w:shd w:val="clear" w:color="auto" w:fill="FFFFFF"/>
                              </w:rPr>
                            </w:pPr>
                            <w:r w:rsidRPr="00A11278">
                              <w:rPr>
                                <w:color w:val="767171" w:themeColor="background2" w:themeShade="80"/>
                                <w:sz w:val="16"/>
                                <w:szCs w:val="16"/>
                                <w:shd w:val="clear" w:color="auto" w:fill="FFFFFF"/>
                              </w:rPr>
                              <w:t>The information contained in this briefing is provided for informational purposes only and should not be construed as legal advice on any subject matter. Except where expressly stated otherwise, the opinions, recommendations, findings, interpretations and conclusions expressed in this report are those of PRI Association, and do not necessarily represent the views of the contributors to the briefing or any signatories to the Principles for Responsible Investment (individually or as a whole).</w:t>
                            </w:r>
                          </w:p>
                          <w:p w14:paraId="68626B77" w14:textId="5082D9C9" w:rsidR="003B6D50" w:rsidRPr="00A11278" w:rsidRDefault="003D6876" w:rsidP="000F2F1A">
                            <w:pPr>
                              <w:rPr>
                                <w:color w:val="767171" w:themeColor="background2" w:themeShade="80"/>
                                <w:sz w:val="16"/>
                                <w:szCs w:val="16"/>
                              </w:rPr>
                            </w:pPr>
                            <w:r w:rsidRPr="00A11278">
                              <w:rPr>
                                <w:color w:val="767171" w:themeColor="background2" w:themeShade="80"/>
                                <w:sz w:val="16"/>
                                <w:szCs w:val="16"/>
                                <w:shd w:val="clear" w:color="auto" w:fill="FFFFFF"/>
                              </w:rPr>
                              <w:t>To inform this briefing, the following investor group has been consulted: PRI Global Policy Reference Group. This consultation is not an endorsement or acknowledgement of the views expressed in this briefing</w:t>
                            </w:r>
                            <w:r w:rsidR="00E12329" w:rsidRPr="00A11278">
                              <w:rPr>
                                <w:color w:val="767171" w:themeColor="background2" w:themeShade="80"/>
                                <w:sz w:val="16"/>
                                <w:szCs w:val="1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9A7B8A" id="_x0000_t202" coordsize="21600,21600" o:spt="202" path="m,l,21600r21600,l21600,xe">
                <v:stroke joinstyle="miter"/>
                <v:path gradientshapeok="t" o:connecttype="rect"/>
              </v:shapetype>
              <v:shape id="Text Box 3" o:spid="_x0000_s1026" type="#_x0000_t202" style="position:absolute;margin-left:421.3pt;margin-top:197.8pt;width:472.5pt;height:89.8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" fillcolor="white [3201]" stroked="f" strokeweight=".5pt">
                <v:textbox>
                  <w:txbxContent>
                    <w:p w14:paraId="02675508" w14:textId="77777777" w:rsidR="003D6876" w:rsidRPr="00A11278" w:rsidRDefault="003D6876" w:rsidP="000F2F1A">
                      <w:pPr>
                        <w:rPr>
                          <w:color w:val="767171" w:themeColor="background2" w:themeShade="80"/>
                          <w:sz w:val="16"/>
                          <w:szCs w:val="16"/>
                          <w:shd w:val="clear" w:color="auto" w:fill="FFFFFF"/>
                        </w:rPr>
                      </w:pPr>
                      <w:r w:rsidRPr="00A11278">
                        <w:rPr>
                          <w:color w:val="767171" w:themeColor="background2" w:themeShade="80"/>
                          <w:sz w:val="16"/>
                          <w:szCs w:val="16"/>
                          <w:shd w:val="clear" w:color="auto" w:fill="FFFFFF"/>
                        </w:rPr>
                        <w:t>The information contained in this briefing is provided for informational purposes only and should not be construed as legal advice on any subject matter. Except where expressly stated otherwise, the opinions, recommendations, findings, interpretations and conclusions expressed in this report are those of PRI Association, and do not necessarily represent the views of the contributors to the briefing or any signatories to the Principles for Responsible Investment (individually or as a whole).</w:t>
                      </w:r>
                    </w:p>
                    <w:p w14:paraId="68626B77" w14:textId="5082D9C9" w:rsidR="003B6D50" w:rsidRPr="00A11278" w:rsidRDefault="003D6876" w:rsidP="000F2F1A">
                      <w:pPr>
                        <w:rPr>
                          <w:color w:val="767171" w:themeColor="background2" w:themeShade="80"/>
                          <w:sz w:val="16"/>
                          <w:szCs w:val="16"/>
                        </w:rPr>
                      </w:pPr>
                      <w:r w:rsidRPr="00A11278">
                        <w:rPr>
                          <w:color w:val="767171" w:themeColor="background2" w:themeShade="80"/>
                          <w:sz w:val="16"/>
                          <w:szCs w:val="16"/>
                          <w:shd w:val="clear" w:color="auto" w:fill="FFFFFF"/>
                        </w:rPr>
                        <w:t>To inform this briefing, the following investor group has been consulted: PRI Global Policy Reference Group. This consultation is not an endorsement or acknowledgement of the views expressed in this briefing</w:t>
                      </w:r>
                      <w:r w:rsidR="00E12329" w:rsidRPr="00A11278">
                        <w:rPr>
                          <w:color w:val="767171" w:themeColor="background2" w:themeShade="80"/>
                          <w:sz w:val="16"/>
                          <w:szCs w:val="16"/>
                          <w:shd w:val="clear" w:color="auto" w:fill="FFFFFF"/>
                        </w:rPr>
                        <w:t>.</w:t>
                      </w:r>
                    </w:p>
                  </w:txbxContent>
                </v:textbox>
                <w10:wrap anchorx="margin"/>
              </v:shape>
            </w:pict>
          </mc:Fallback>
        </mc:AlternateContent>
      </w:r>
      <w:r w:rsidRPr="00F8177B">
        <w:br w:type="page"/>
      </w:r>
    </w:p>
    <w:bookmarkEnd w:id="5" w:displacedByCustomXml="next"/>
    <w:bookmarkEnd w:id="4" w:displacedByCustomXml="next"/>
    <w:bookmarkEnd w:id="3" w:displacedByCustomXml="next"/>
    <w:bookmarkEnd w:id="2" w:displacedByCustomXml="next"/>
    <w:bookmarkEnd w:id="1" w:displacedByCustomXml="next"/>
    <w:sdt>
      <w:sdtPr>
        <w:rPr>
          <w:rFonts w:eastAsiaTheme="majorEastAsia" w:cstheme="majorBidi"/>
          <w:caps/>
          <w:color w:val="2F5496" w:themeColor="accent1" w:themeShade="BF"/>
          <w:sz w:val="24"/>
          <w:szCs w:val="24"/>
        </w:rPr>
        <w:id w:val="702938691"/>
        <w:docPartObj>
          <w:docPartGallery w:val="Table of Contents"/>
          <w:docPartUnique/>
        </w:docPartObj>
      </w:sdtPr>
      <w:sdtContent>
        <w:p w14:paraId="5DE130E5" w14:textId="77777777" w:rsidR="002F6437" w:rsidRPr="00F8177B" w:rsidRDefault="003B6D50" w:rsidP="000F2F1A">
          <w:pPr>
            <w:pStyle w:val="TOC2"/>
            <w:rPr>
              <w:noProof/>
            </w:rPr>
          </w:pPr>
          <w:r w:rsidRPr="00F8177B">
            <w:rPr>
              <w:color w:val="44546A" w:themeColor="text2"/>
              <w:sz w:val="40"/>
              <w:szCs w:val="40"/>
            </w:rPr>
            <w:t>Contents</w:t>
          </w:r>
          <w:r w:rsidR="00322EF9" w:rsidRPr="00F8177B">
            <w:fldChar w:fldCharType="begin"/>
          </w:r>
          <w:r w:rsidR="00C03B9A" w:rsidRPr="00F8177B">
            <w:instrText>TOC \o "1-3" \h \z \u</w:instrText>
          </w:r>
          <w:r w:rsidR="00322EF9" w:rsidRPr="00F8177B">
            <w:fldChar w:fldCharType="separate"/>
          </w:r>
        </w:p>
        <w:p w14:paraId="231DA42C" w14:textId="569F9777" w:rsidR="002F6437" w:rsidRPr="00F8177B" w:rsidRDefault="00000000">
          <w:pPr>
            <w:pStyle w:val="TOC1"/>
            <w:rPr>
              <w:rFonts w:asciiTheme="minorHAnsi" w:eastAsiaTheme="minorEastAsia" w:hAnsiTheme="minorHAnsi" w:cstheme="minorBidi"/>
              <w:caps w:val="0"/>
              <w:noProof/>
              <w:color w:val="auto"/>
              <w:kern w:val="2"/>
              <w:szCs w:val="24"/>
              <w:lang w:eastAsia="en-GB"/>
              <w14:ligatures w14:val="standardContextual"/>
            </w:rPr>
          </w:pPr>
          <w:hyperlink w:anchor="_Toc172287031" w:history="1">
            <w:r w:rsidR="002F6437" w:rsidRPr="00F8177B">
              <w:rPr>
                <w:rStyle w:val="Hyperlink"/>
                <w:noProof/>
              </w:rPr>
              <w:t>executive summary</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_Toc172287031 \h </w:instrText>
            </w:r>
            <w:r w:rsidR="002F6437" w:rsidRPr="00F8177B">
              <w:rPr>
                <w:noProof/>
                <w:webHidden/>
              </w:rPr>
            </w:r>
            <w:r w:rsidR="002F6437" w:rsidRPr="00F8177B">
              <w:rPr>
                <w:noProof/>
                <w:webHidden/>
              </w:rPr>
              <w:fldChar w:fldCharType="separate"/>
            </w:r>
            <w:r w:rsidR="002F6437" w:rsidRPr="00F8177B">
              <w:rPr>
                <w:noProof/>
                <w:webHidden/>
              </w:rPr>
              <w:t>3</w:t>
            </w:r>
            <w:r w:rsidR="002F6437" w:rsidRPr="00F8177B">
              <w:rPr>
                <w:noProof/>
                <w:webHidden/>
              </w:rPr>
              <w:fldChar w:fldCharType="end"/>
            </w:r>
          </w:hyperlink>
        </w:p>
        <w:p w14:paraId="433003CD" w14:textId="7CA66B2B" w:rsidR="002F6437" w:rsidRPr="00F8177B" w:rsidRDefault="00000000">
          <w:pPr>
            <w:pStyle w:val="TOC1"/>
            <w:rPr>
              <w:rFonts w:asciiTheme="minorHAnsi" w:eastAsiaTheme="minorEastAsia" w:hAnsiTheme="minorHAnsi" w:cstheme="minorBidi"/>
              <w:caps w:val="0"/>
              <w:noProof/>
              <w:color w:val="auto"/>
              <w:kern w:val="2"/>
              <w:szCs w:val="24"/>
              <w:lang w:eastAsia="en-GB"/>
              <w14:ligatures w14:val="standardContextual"/>
            </w:rPr>
          </w:pPr>
          <w:hyperlink w:anchor="_Toc172287032" w:history="1">
            <w:r w:rsidR="002F6437" w:rsidRPr="00D00FFA">
              <w:rPr>
                <w:rStyle w:val="Hyperlink"/>
                <w:noProof/>
              </w:rPr>
              <w:t>KEY TERMS</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_Toc172287032 \h </w:instrText>
            </w:r>
            <w:r w:rsidR="002F6437" w:rsidRPr="00F8177B">
              <w:rPr>
                <w:noProof/>
                <w:webHidden/>
              </w:rPr>
            </w:r>
            <w:r w:rsidR="002F6437" w:rsidRPr="00F8177B">
              <w:rPr>
                <w:noProof/>
                <w:webHidden/>
              </w:rPr>
              <w:fldChar w:fldCharType="separate"/>
            </w:r>
            <w:r w:rsidR="002F6437" w:rsidRPr="00F8177B">
              <w:rPr>
                <w:noProof/>
                <w:webHidden/>
              </w:rPr>
              <w:t>4</w:t>
            </w:r>
            <w:r w:rsidR="002F6437" w:rsidRPr="00F8177B">
              <w:rPr>
                <w:noProof/>
                <w:webHidden/>
              </w:rPr>
              <w:fldChar w:fldCharType="end"/>
            </w:r>
          </w:hyperlink>
        </w:p>
        <w:p w14:paraId="240EA4D1" w14:textId="4BF1B904" w:rsidR="002F6437" w:rsidRPr="00F8177B" w:rsidRDefault="00000000">
          <w:pPr>
            <w:pStyle w:val="TOC1"/>
            <w:rPr>
              <w:rFonts w:asciiTheme="minorHAnsi" w:eastAsiaTheme="minorEastAsia" w:hAnsiTheme="minorHAnsi" w:cstheme="minorBidi"/>
              <w:caps w:val="0"/>
              <w:noProof/>
              <w:color w:val="auto"/>
              <w:kern w:val="2"/>
              <w:szCs w:val="24"/>
              <w:lang w:eastAsia="en-GB"/>
              <w14:ligatures w14:val="standardContextual"/>
            </w:rPr>
          </w:pPr>
          <w:hyperlink w:anchor="_Toc172287033" w:history="1">
            <w:r w:rsidR="002F6437" w:rsidRPr="00F8177B">
              <w:rPr>
                <w:rStyle w:val="Hyperlink"/>
                <w:noProof/>
              </w:rPr>
              <w:t>The case for stewardship and investor collaboration</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_Toc172287033 \h </w:instrText>
            </w:r>
            <w:r w:rsidR="002F6437" w:rsidRPr="00F8177B">
              <w:rPr>
                <w:noProof/>
                <w:webHidden/>
              </w:rPr>
            </w:r>
            <w:r w:rsidR="002F6437" w:rsidRPr="00F8177B">
              <w:rPr>
                <w:noProof/>
                <w:webHidden/>
              </w:rPr>
              <w:fldChar w:fldCharType="separate"/>
            </w:r>
            <w:r w:rsidR="002F6437" w:rsidRPr="00F8177B">
              <w:rPr>
                <w:noProof/>
                <w:webHidden/>
              </w:rPr>
              <w:t>5</w:t>
            </w:r>
            <w:r w:rsidR="002F6437" w:rsidRPr="00F8177B">
              <w:rPr>
                <w:noProof/>
                <w:webHidden/>
              </w:rPr>
              <w:fldChar w:fldCharType="end"/>
            </w:r>
          </w:hyperlink>
        </w:p>
        <w:p w14:paraId="60D5BB7E" w14:textId="0242286A" w:rsidR="002F6437" w:rsidRPr="00F8177B"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287034" w:history="1">
            <w:r w:rsidR="002F6437" w:rsidRPr="00F8177B">
              <w:rPr>
                <w:rStyle w:val="Hyperlink"/>
                <w:noProof/>
              </w:rPr>
              <w:t>Sustainable investment and stewardship</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_Toc172287034 \h </w:instrText>
            </w:r>
            <w:r w:rsidR="002F6437" w:rsidRPr="00F8177B">
              <w:rPr>
                <w:noProof/>
                <w:webHidden/>
              </w:rPr>
            </w:r>
            <w:r w:rsidR="002F6437" w:rsidRPr="00F8177B">
              <w:rPr>
                <w:noProof/>
                <w:webHidden/>
              </w:rPr>
              <w:fldChar w:fldCharType="separate"/>
            </w:r>
            <w:r w:rsidR="002F6437" w:rsidRPr="00F8177B">
              <w:rPr>
                <w:noProof/>
                <w:webHidden/>
              </w:rPr>
              <w:t>5</w:t>
            </w:r>
            <w:r w:rsidR="002F6437" w:rsidRPr="00F8177B">
              <w:rPr>
                <w:noProof/>
                <w:webHidden/>
              </w:rPr>
              <w:fldChar w:fldCharType="end"/>
            </w:r>
          </w:hyperlink>
        </w:p>
        <w:p w14:paraId="0286BB40" w14:textId="20482DF8" w:rsidR="002F6437" w:rsidRPr="00F8177B"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287035" w:history="1">
            <w:r w:rsidR="002F6437" w:rsidRPr="00F8177B">
              <w:rPr>
                <w:rStyle w:val="Hyperlink"/>
                <w:noProof/>
              </w:rPr>
              <w:t>Stewardship as a key strategy for sustainable investment</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_Toc172287035 \h </w:instrText>
            </w:r>
            <w:r w:rsidR="002F6437" w:rsidRPr="00F8177B">
              <w:rPr>
                <w:noProof/>
                <w:webHidden/>
              </w:rPr>
            </w:r>
            <w:r w:rsidR="002F6437" w:rsidRPr="00F8177B">
              <w:rPr>
                <w:noProof/>
                <w:webHidden/>
              </w:rPr>
              <w:fldChar w:fldCharType="separate"/>
            </w:r>
            <w:r w:rsidR="002F6437" w:rsidRPr="00F8177B">
              <w:rPr>
                <w:noProof/>
                <w:webHidden/>
              </w:rPr>
              <w:t>6</w:t>
            </w:r>
            <w:r w:rsidR="002F6437" w:rsidRPr="00F8177B">
              <w:rPr>
                <w:noProof/>
                <w:webHidden/>
              </w:rPr>
              <w:fldChar w:fldCharType="end"/>
            </w:r>
          </w:hyperlink>
        </w:p>
        <w:p w14:paraId="05CA3E00" w14:textId="5F6455DF" w:rsidR="002F6437" w:rsidRPr="00F8177B"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287036" w:history="1">
            <w:r w:rsidR="002F6437" w:rsidRPr="00F8177B">
              <w:rPr>
                <w:rStyle w:val="Hyperlink"/>
                <w:noProof/>
              </w:rPr>
              <w:t>Collaboration, a key element of effective stewardship</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_Toc172287036 \h </w:instrText>
            </w:r>
            <w:r w:rsidR="002F6437" w:rsidRPr="00F8177B">
              <w:rPr>
                <w:noProof/>
                <w:webHidden/>
              </w:rPr>
            </w:r>
            <w:r w:rsidR="002F6437" w:rsidRPr="00F8177B">
              <w:rPr>
                <w:noProof/>
                <w:webHidden/>
              </w:rPr>
              <w:fldChar w:fldCharType="separate"/>
            </w:r>
            <w:r w:rsidR="002F6437" w:rsidRPr="00F8177B">
              <w:rPr>
                <w:noProof/>
                <w:webHidden/>
              </w:rPr>
              <w:t>6</w:t>
            </w:r>
            <w:r w:rsidR="002F6437" w:rsidRPr="00F8177B">
              <w:rPr>
                <w:noProof/>
                <w:webHidden/>
              </w:rPr>
              <w:fldChar w:fldCharType="end"/>
            </w:r>
          </w:hyperlink>
        </w:p>
        <w:p w14:paraId="3AB93EE0" w14:textId="723511C9" w:rsidR="002F6437" w:rsidRPr="00F8177B"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287037" w:history="1">
            <w:r w:rsidR="002F6437" w:rsidRPr="00F8177B">
              <w:rPr>
                <w:rStyle w:val="Hyperlink"/>
                <w:noProof/>
              </w:rPr>
              <w:t>The need for investor collaboration</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_Toc172287037 \h </w:instrText>
            </w:r>
            <w:r w:rsidR="002F6437" w:rsidRPr="00F8177B">
              <w:rPr>
                <w:noProof/>
                <w:webHidden/>
              </w:rPr>
            </w:r>
            <w:r w:rsidR="002F6437" w:rsidRPr="00F8177B">
              <w:rPr>
                <w:noProof/>
                <w:webHidden/>
              </w:rPr>
              <w:fldChar w:fldCharType="separate"/>
            </w:r>
            <w:r w:rsidR="002F6437" w:rsidRPr="00F8177B">
              <w:rPr>
                <w:noProof/>
                <w:webHidden/>
              </w:rPr>
              <w:t>8</w:t>
            </w:r>
            <w:r w:rsidR="002F6437" w:rsidRPr="00F8177B">
              <w:rPr>
                <w:noProof/>
                <w:webHidden/>
              </w:rPr>
              <w:fldChar w:fldCharType="end"/>
            </w:r>
          </w:hyperlink>
        </w:p>
        <w:p w14:paraId="6FADDCAC" w14:textId="73E7B40B" w:rsidR="002F6437" w:rsidRPr="00F8177B"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287038" w:history="1">
            <w:r w:rsidR="00DA6416" w:rsidRPr="00F8177B">
              <w:rPr>
                <w:rStyle w:val="Hyperlink"/>
                <w:noProof/>
              </w:rPr>
              <w:t>System-level</w:t>
            </w:r>
            <w:r w:rsidR="002F6437" w:rsidRPr="00F8177B">
              <w:rPr>
                <w:rStyle w:val="Hyperlink"/>
                <w:noProof/>
              </w:rPr>
              <w:t xml:space="preserve"> risks</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_Toc172287038 \h </w:instrText>
            </w:r>
            <w:r w:rsidR="002F6437" w:rsidRPr="00F8177B">
              <w:rPr>
                <w:noProof/>
                <w:webHidden/>
              </w:rPr>
            </w:r>
            <w:r w:rsidR="002F6437" w:rsidRPr="00F8177B">
              <w:rPr>
                <w:noProof/>
                <w:webHidden/>
              </w:rPr>
              <w:fldChar w:fldCharType="separate"/>
            </w:r>
            <w:r w:rsidR="002F6437" w:rsidRPr="00F8177B">
              <w:rPr>
                <w:noProof/>
                <w:webHidden/>
              </w:rPr>
              <w:t>9</w:t>
            </w:r>
            <w:r w:rsidR="002F6437" w:rsidRPr="00F8177B">
              <w:rPr>
                <w:noProof/>
                <w:webHidden/>
              </w:rPr>
              <w:fldChar w:fldCharType="end"/>
            </w:r>
          </w:hyperlink>
        </w:p>
        <w:p w14:paraId="7BF7A413" w14:textId="0832E907" w:rsidR="002F6437" w:rsidRPr="00F8177B"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287039" w:history="1">
            <w:r w:rsidR="002F6437" w:rsidRPr="00F8177B">
              <w:rPr>
                <w:rStyle w:val="Hyperlink"/>
                <w:noProof/>
              </w:rPr>
              <w:t>Collective action problem</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_Toc172287039 \h </w:instrText>
            </w:r>
            <w:r w:rsidR="002F6437" w:rsidRPr="00F8177B">
              <w:rPr>
                <w:noProof/>
                <w:webHidden/>
              </w:rPr>
            </w:r>
            <w:r w:rsidR="002F6437" w:rsidRPr="00F8177B">
              <w:rPr>
                <w:noProof/>
                <w:webHidden/>
              </w:rPr>
              <w:fldChar w:fldCharType="separate"/>
            </w:r>
            <w:r w:rsidR="002F6437" w:rsidRPr="00F8177B">
              <w:rPr>
                <w:noProof/>
                <w:webHidden/>
              </w:rPr>
              <w:t>9</w:t>
            </w:r>
            <w:r w:rsidR="002F6437" w:rsidRPr="00F8177B">
              <w:rPr>
                <w:noProof/>
                <w:webHidden/>
              </w:rPr>
              <w:fldChar w:fldCharType="end"/>
            </w:r>
          </w:hyperlink>
        </w:p>
        <w:p w14:paraId="665E54D3" w14:textId="7B40D93D" w:rsidR="002F6437" w:rsidRPr="00F8177B"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287040" w:history="1">
            <w:r w:rsidR="002F6437" w:rsidRPr="00F8177B">
              <w:rPr>
                <w:rStyle w:val="Hyperlink"/>
                <w:noProof/>
              </w:rPr>
              <w:t>Efficiency gains from investor collaboration</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_Toc172287040 \h </w:instrText>
            </w:r>
            <w:r w:rsidR="002F6437" w:rsidRPr="00F8177B">
              <w:rPr>
                <w:noProof/>
                <w:webHidden/>
              </w:rPr>
            </w:r>
            <w:r w:rsidR="002F6437" w:rsidRPr="00F8177B">
              <w:rPr>
                <w:noProof/>
                <w:webHidden/>
              </w:rPr>
              <w:fldChar w:fldCharType="separate"/>
            </w:r>
            <w:r w:rsidR="002F6437" w:rsidRPr="00F8177B">
              <w:rPr>
                <w:noProof/>
                <w:webHidden/>
              </w:rPr>
              <w:t>10</w:t>
            </w:r>
            <w:r w:rsidR="002F6437" w:rsidRPr="00F8177B">
              <w:rPr>
                <w:noProof/>
                <w:webHidden/>
              </w:rPr>
              <w:fldChar w:fldCharType="end"/>
            </w:r>
          </w:hyperlink>
        </w:p>
        <w:p w14:paraId="4BE92075" w14:textId="13518F0A" w:rsidR="002F6437" w:rsidRPr="00F8177B"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2287041" w:history="1">
            <w:r w:rsidR="002F6437" w:rsidRPr="00F8177B">
              <w:rPr>
                <w:rStyle w:val="Hyperlink"/>
                <w:noProof/>
              </w:rPr>
              <w:t>Examples of investor collaborative engagements</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_Toc172287041 \h </w:instrText>
            </w:r>
            <w:r w:rsidR="002F6437" w:rsidRPr="00F8177B">
              <w:rPr>
                <w:noProof/>
                <w:webHidden/>
              </w:rPr>
            </w:r>
            <w:r w:rsidR="002F6437" w:rsidRPr="00F8177B">
              <w:rPr>
                <w:noProof/>
                <w:webHidden/>
              </w:rPr>
              <w:fldChar w:fldCharType="separate"/>
            </w:r>
            <w:r w:rsidR="002F6437" w:rsidRPr="00F8177B">
              <w:rPr>
                <w:noProof/>
                <w:webHidden/>
              </w:rPr>
              <w:t>10</w:t>
            </w:r>
            <w:r w:rsidR="002F6437" w:rsidRPr="00F8177B">
              <w:rPr>
                <w:noProof/>
                <w:webHidden/>
              </w:rPr>
              <w:fldChar w:fldCharType="end"/>
            </w:r>
          </w:hyperlink>
        </w:p>
        <w:p w14:paraId="498F015E" w14:textId="7215CFEE" w:rsidR="002F6437" w:rsidRPr="00F8177B" w:rsidRDefault="00000000">
          <w:pPr>
            <w:pStyle w:val="TOC1"/>
            <w:rPr>
              <w:rFonts w:asciiTheme="minorHAnsi" w:eastAsiaTheme="minorEastAsia" w:hAnsiTheme="minorHAnsi" w:cstheme="minorBidi"/>
              <w:caps w:val="0"/>
              <w:noProof/>
              <w:color w:val="auto"/>
              <w:kern w:val="2"/>
              <w:szCs w:val="24"/>
              <w:lang w:eastAsia="en-GB"/>
              <w14:ligatures w14:val="standardContextual"/>
            </w:rPr>
          </w:pPr>
          <w:hyperlink w:anchor="_Toc172287042" w:history="1">
            <w:r w:rsidR="002F6437" w:rsidRPr="00F8177B">
              <w:rPr>
                <w:rStyle w:val="Hyperlink"/>
                <w:noProof/>
              </w:rPr>
              <w:t>The legal framework for collaborative engagement</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_Toc172287042 \h </w:instrText>
            </w:r>
            <w:r w:rsidR="002F6437" w:rsidRPr="00F8177B">
              <w:rPr>
                <w:noProof/>
                <w:webHidden/>
              </w:rPr>
            </w:r>
            <w:r w:rsidR="002F6437" w:rsidRPr="00F8177B">
              <w:rPr>
                <w:noProof/>
                <w:webHidden/>
              </w:rPr>
              <w:fldChar w:fldCharType="separate"/>
            </w:r>
            <w:r w:rsidR="002F6437" w:rsidRPr="00F8177B">
              <w:rPr>
                <w:noProof/>
                <w:webHidden/>
              </w:rPr>
              <w:t>12</w:t>
            </w:r>
            <w:r w:rsidR="002F6437" w:rsidRPr="00F8177B">
              <w:rPr>
                <w:noProof/>
                <w:webHidden/>
              </w:rPr>
              <w:fldChar w:fldCharType="end"/>
            </w:r>
          </w:hyperlink>
        </w:p>
        <w:p w14:paraId="0E345D53" w14:textId="2913FB90" w:rsidR="002F6437" w:rsidRPr="00F8177B"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287043" w:history="1">
            <w:r w:rsidR="002F6437" w:rsidRPr="00F8177B">
              <w:rPr>
                <w:rStyle w:val="Hyperlink"/>
                <w:noProof/>
              </w:rPr>
              <w:t>Expectations for investors to participate in collaborative engagements</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_Toc172287043 \h </w:instrText>
            </w:r>
            <w:r w:rsidR="002F6437" w:rsidRPr="00F8177B">
              <w:rPr>
                <w:noProof/>
                <w:webHidden/>
              </w:rPr>
            </w:r>
            <w:r w:rsidR="002F6437" w:rsidRPr="00F8177B">
              <w:rPr>
                <w:noProof/>
                <w:webHidden/>
              </w:rPr>
              <w:fldChar w:fldCharType="separate"/>
            </w:r>
            <w:r w:rsidR="002F6437" w:rsidRPr="00F8177B">
              <w:rPr>
                <w:noProof/>
                <w:webHidden/>
              </w:rPr>
              <w:t>12</w:t>
            </w:r>
            <w:r w:rsidR="002F6437" w:rsidRPr="00F8177B">
              <w:rPr>
                <w:noProof/>
                <w:webHidden/>
              </w:rPr>
              <w:fldChar w:fldCharType="end"/>
            </w:r>
          </w:hyperlink>
        </w:p>
        <w:p w14:paraId="09ECFB65" w14:textId="7711B254" w:rsidR="002F6437" w:rsidRPr="00F8177B"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287044" w:history="1">
            <w:r w:rsidR="002F6437" w:rsidRPr="00F8177B">
              <w:rPr>
                <w:rStyle w:val="Hyperlink"/>
                <w:noProof/>
              </w:rPr>
              <w:t>Policy or regulatory Barriers to investor collaboration</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_Toc172287044 \h </w:instrText>
            </w:r>
            <w:r w:rsidR="002F6437" w:rsidRPr="00F8177B">
              <w:rPr>
                <w:noProof/>
                <w:webHidden/>
              </w:rPr>
            </w:r>
            <w:r w:rsidR="002F6437" w:rsidRPr="00F8177B">
              <w:rPr>
                <w:noProof/>
                <w:webHidden/>
              </w:rPr>
              <w:fldChar w:fldCharType="separate"/>
            </w:r>
            <w:r w:rsidR="002F6437" w:rsidRPr="00F8177B">
              <w:rPr>
                <w:noProof/>
                <w:webHidden/>
              </w:rPr>
              <w:t>13</w:t>
            </w:r>
            <w:r w:rsidR="002F6437" w:rsidRPr="00F8177B">
              <w:rPr>
                <w:noProof/>
                <w:webHidden/>
              </w:rPr>
              <w:fldChar w:fldCharType="end"/>
            </w:r>
          </w:hyperlink>
        </w:p>
        <w:p w14:paraId="6374F4AE" w14:textId="1BEF9936" w:rsidR="002F6437" w:rsidRPr="00F8177B" w:rsidRDefault="00000000">
          <w:pPr>
            <w:pStyle w:val="TOC1"/>
            <w:rPr>
              <w:rFonts w:asciiTheme="minorHAnsi" w:eastAsiaTheme="minorEastAsia" w:hAnsiTheme="minorHAnsi" w:cstheme="minorBidi"/>
              <w:caps w:val="0"/>
              <w:noProof/>
              <w:color w:val="auto"/>
              <w:kern w:val="2"/>
              <w:szCs w:val="24"/>
              <w:lang w:eastAsia="en-GB"/>
              <w14:ligatures w14:val="standardContextual"/>
            </w:rPr>
          </w:pPr>
          <w:hyperlink w:anchor="_Toc172287045" w:history="1">
            <w:r w:rsidR="002F6437" w:rsidRPr="00F8177B">
              <w:rPr>
                <w:rStyle w:val="Hyperlink"/>
                <w:noProof/>
              </w:rPr>
              <w:t>what is the role of policy?</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_Toc172287045 \h </w:instrText>
            </w:r>
            <w:r w:rsidR="002F6437" w:rsidRPr="00F8177B">
              <w:rPr>
                <w:noProof/>
                <w:webHidden/>
              </w:rPr>
            </w:r>
            <w:r w:rsidR="002F6437" w:rsidRPr="00F8177B">
              <w:rPr>
                <w:noProof/>
                <w:webHidden/>
              </w:rPr>
              <w:fldChar w:fldCharType="separate"/>
            </w:r>
            <w:r w:rsidR="002F6437" w:rsidRPr="00F8177B">
              <w:rPr>
                <w:noProof/>
                <w:webHidden/>
              </w:rPr>
              <w:t>15</w:t>
            </w:r>
            <w:r w:rsidR="002F6437" w:rsidRPr="00F8177B">
              <w:rPr>
                <w:noProof/>
                <w:webHidden/>
              </w:rPr>
              <w:fldChar w:fldCharType="end"/>
            </w:r>
          </w:hyperlink>
        </w:p>
        <w:p w14:paraId="18DBB0BF" w14:textId="300DC6C7" w:rsidR="002F6437" w:rsidRPr="00F8177B"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2287046" w:history="1">
            <w:r w:rsidR="002F6437" w:rsidRPr="00F8177B">
              <w:rPr>
                <w:rStyle w:val="Hyperlink"/>
                <w:noProof/>
              </w:rPr>
              <w:t>Policy recommendations</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_Toc172287046 \h </w:instrText>
            </w:r>
            <w:r w:rsidR="002F6437" w:rsidRPr="00F8177B">
              <w:rPr>
                <w:noProof/>
                <w:webHidden/>
              </w:rPr>
            </w:r>
            <w:r w:rsidR="002F6437" w:rsidRPr="00F8177B">
              <w:rPr>
                <w:noProof/>
                <w:webHidden/>
              </w:rPr>
              <w:fldChar w:fldCharType="separate"/>
            </w:r>
            <w:r w:rsidR="002F6437" w:rsidRPr="00F8177B">
              <w:rPr>
                <w:noProof/>
                <w:webHidden/>
              </w:rPr>
              <w:t>15</w:t>
            </w:r>
            <w:r w:rsidR="002F6437" w:rsidRPr="00F8177B">
              <w:rPr>
                <w:noProof/>
                <w:webHidden/>
              </w:rPr>
              <w:fldChar w:fldCharType="end"/>
            </w:r>
          </w:hyperlink>
        </w:p>
        <w:p w14:paraId="3F185AB1" w14:textId="43D381BF" w:rsidR="002F6437" w:rsidRPr="00F8177B" w:rsidRDefault="00000000">
          <w:pPr>
            <w:pStyle w:val="TOC1"/>
            <w:rPr>
              <w:rFonts w:asciiTheme="minorHAnsi" w:eastAsiaTheme="minorEastAsia" w:hAnsiTheme="minorHAnsi" w:cstheme="minorBidi"/>
              <w:caps w:val="0"/>
              <w:noProof/>
              <w:color w:val="auto"/>
              <w:kern w:val="2"/>
              <w:szCs w:val="24"/>
              <w:lang w:eastAsia="en-GB"/>
              <w14:ligatures w14:val="standardContextual"/>
            </w:rPr>
          </w:pPr>
          <w:hyperlink w:anchor="_Toc172287047" w:history="1">
            <w:r w:rsidR="002F6437" w:rsidRPr="00F8177B">
              <w:rPr>
                <w:rStyle w:val="Hyperlink"/>
                <w:noProof/>
              </w:rPr>
              <w:t>appendix: Policy frameworks and recent developments in key markets</w:t>
            </w:r>
            <w:r w:rsidR="002F6437" w:rsidRPr="00F8177B">
              <w:rPr>
                <w:noProof/>
                <w:webHidden/>
              </w:rPr>
              <w:tab/>
            </w:r>
            <w:r w:rsidR="002F6437" w:rsidRPr="00F8177B">
              <w:rPr>
                <w:noProof/>
                <w:webHidden/>
              </w:rPr>
              <w:fldChar w:fldCharType="begin"/>
            </w:r>
            <w:r w:rsidR="002F6437" w:rsidRPr="00F8177B">
              <w:rPr>
                <w:noProof/>
                <w:webHidden/>
              </w:rPr>
              <w:instrText xml:space="preserve"> PAGEREF _Toc172287047 \h </w:instrText>
            </w:r>
            <w:r w:rsidR="002F6437" w:rsidRPr="00F8177B">
              <w:rPr>
                <w:noProof/>
                <w:webHidden/>
              </w:rPr>
            </w:r>
            <w:r w:rsidR="002F6437" w:rsidRPr="00F8177B">
              <w:rPr>
                <w:noProof/>
                <w:webHidden/>
              </w:rPr>
              <w:fldChar w:fldCharType="separate"/>
            </w:r>
            <w:r w:rsidR="002F6437" w:rsidRPr="00F8177B">
              <w:rPr>
                <w:noProof/>
                <w:webHidden/>
              </w:rPr>
              <w:t>19</w:t>
            </w:r>
            <w:r w:rsidR="002F6437" w:rsidRPr="00F8177B">
              <w:rPr>
                <w:noProof/>
                <w:webHidden/>
              </w:rPr>
              <w:fldChar w:fldCharType="end"/>
            </w:r>
          </w:hyperlink>
        </w:p>
        <w:p w14:paraId="3BD5DEBC" w14:textId="39EEC956" w:rsidR="00C76F2F" w:rsidRPr="00F8177B" w:rsidRDefault="00322EF9" w:rsidP="00E37B6E">
          <w:pPr>
            <w:pStyle w:val="TOC1"/>
            <w:rPr>
              <w:rStyle w:val="Hyperlink"/>
              <w:noProof/>
              <w:kern w:val="2"/>
              <w:lang w:eastAsia="en-GB"/>
              <w14:ligatures w14:val="standardContextual"/>
            </w:rPr>
          </w:pPr>
          <w:r w:rsidRPr="00F8177B">
            <w:fldChar w:fldCharType="end"/>
          </w:r>
        </w:p>
      </w:sdtContent>
    </w:sdt>
    <w:p w14:paraId="4FB3818D" w14:textId="77777777" w:rsidR="003B6D50" w:rsidRPr="00F8177B" w:rsidRDefault="003B6D50" w:rsidP="000F2F1A">
      <w:pPr>
        <w:rPr>
          <w:rFonts w:eastAsiaTheme="majorEastAsia" w:cstheme="majorBidi"/>
          <w:color w:val="00B0F0"/>
          <w:sz w:val="28"/>
          <w:szCs w:val="26"/>
        </w:rPr>
      </w:pPr>
      <w:bookmarkStart w:id="6" w:name="_Toc64884493"/>
      <w:r w:rsidRPr="00F8177B">
        <w:br w:type="page"/>
      </w:r>
    </w:p>
    <w:p w14:paraId="0919DF29" w14:textId="66FCD0A8" w:rsidR="00036DE1" w:rsidRPr="00F8177B" w:rsidRDefault="00036DE1" w:rsidP="000F2F1A">
      <w:pPr>
        <w:pStyle w:val="Heading1"/>
      </w:pPr>
      <w:bookmarkStart w:id="7" w:name="_Toc172287031"/>
      <w:bookmarkStart w:id="8" w:name="_Toc64884497"/>
      <w:bookmarkEnd w:id="6"/>
      <w:r w:rsidRPr="00F8177B">
        <w:lastRenderedPageBreak/>
        <w:t>executive summary</w:t>
      </w:r>
      <w:bookmarkEnd w:id="7"/>
    </w:p>
    <w:p w14:paraId="4ED731DB" w14:textId="3329D22D" w:rsidR="000F2F1A" w:rsidRPr="00F8177B" w:rsidRDefault="00043284" w:rsidP="000F2F1A">
      <w:r w:rsidRPr="00F8177B">
        <w:t>Financial investments drive real-world outcomes on issues such as climate change, sustainable development and human rights – whether are intended or not.</w:t>
      </w:r>
      <w:r w:rsidR="00AF34A4" w:rsidRPr="00F8177B">
        <w:t xml:space="preserve"> </w:t>
      </w:r>
      <w:r w:rsidR="00AB143D" w:rsidRPr="00F8177B">
        <w:t>Investors can</w:t>
      </w:r>
      <w:r w:rsidR="00D62BBC" w:rsidRPr="00F8177B">
        <w:t xml:space="preserve"> intentionally</w:t>
      </w:r>
      <w:r w:rsidR="00AB143D" w:rsidRPr="00F8177B">
        <w:t xml:space="preserve"> pursue sustainability </w:t>
      </w:r>
      <w:r w:rsidR="00A27DA2" w:rsidRPr="00F8177B">
        <w:t>outcomes or impact goals</w:t>
      </w:r>
      <w:r w:rsidR="00AB143D" w:rsidRPr="00F8177B">
        <w:t xml:space="preserve"> in three main ways: through </w:t>
      </w:r>
      <w:r w:rsidR="00591929" w:rsidRPr="00F8177B">
        <w:t>leveraging</w:t>
      </w:r>
      <w:r w:rsidR="00AB143D" w:rsidRPr="00F8177B">
        <w:t xml:space="preserve"> investment powers, stewardship activities</w:t>
      </w:r>
      <w:r w:rsidR="00591929" w:rsidRPr="00F8177B">
        <w:t>,</w:t>
      </w:r>
      <w:r w:rsidR="00AB143D" w:rsidRPr="00F8177B">
        <w:t xml:space="preserve"> and public policy engagement.</w:t>
      </w:r>
      <w:r w:rsidR="005C7A4C" w:rsidRPr="00F8177B">
        <w:t xml:space="preserve"> Legal attention has</w:t>
      </w:r>
      <w:r w:rsidR="00591929" w:rsidRPr="00F8177B">
        <w:t>,</w:t>
      </w:r>
      <w:r w:rsidR="005C7A4C" w:rsidRPr="00F8177B">
        <w:t xml:space="preserve"> until recently</w:t>
      </w:r>
      <w:r w:rsidR="00591929" w:rsidRPr="00F8177B">
        <w:t>,</w:t>
      </w:r>
      <w:r w:rsidR="005C7A4C" w:rsidRPr="00F8177B">
        <w:t xml:space="preserve"> focus</w:t>
      </w:r>
      <w:r w:rsidR="00591929" w:rsidRPr="00F8177B">
        <w:t>ed</w:t>
      </w:r>
      <w:r w:rsidR="005C7A4C" w:rsidRPr="00F8177B">
        <w:t xml:space="preserve"> on the use of investment powers. However, there </w:t>
      </w:r>
      <w:r w:rsidR="00FD2AA7" w:rsidRPr="00F8177B">
        <w:t>may</w:t>
      </w:r>
      <w:r w:rsidR="005C7A4C" w:rsidRPr="00F8177B">
        <w:t xml:space="preserve"> be a </w:t>
      </w:r>
      <w:r w:rsidR="00FD2AA7" w:rsidRPr="00F8177B">
        <w:t xml:space="preserve">specific </w:t>
      </w:r>
      <w:r w:rsidR="005C7A4C" w:rsidRPr="00F8177B">
        <w:t>role for stewardship and policy engagement</w:t>
      </w:r>
      <w:r w:rsidR="00FD2AA7" w:rsidRPr="00F8177B">
        <w:t xml:space="preserve"> in public markets</w:t>
      </w:r>
      <w:r w:rsidR="005C7A4C" w:rsidRPr="00F8177B">
        <w:t xml:space="preserve">, especially </w:t>
      </w:r>
      <w:r w:rsidR="00FD2AA7" w:rsidRPr="00F8177B">
        <w:t xml:space="preserve">if </w:t>
      </w:r>
      <w:r w:rsidR="005C7A4C" w:rsidRPr="00F8177B">
        <w:t>undertaken collectively</w:t>
      </w:r>
      <w:r w:rsidR="00FD2AA7" w:rsidRPr="00F8177B">
        <w:t>.</w:t>
      </w:r>
      <w:r w:rsidR="005C7A4C" w:rsidRPr="00F8177B">
        <w:t xml:space="preserve"> </w:t>
      </w:r>
      <w:r w:rsidR="00FD2AA7" w:rsidRPr="00F8177B">
        <w:t xml:space="preserve">This is </w:t>
      </w:r>
      <w:r w:rsidR="005C7A4C" w:rsidRPr="00F8177B">
        <w:t>known as investor collaboration or collaborative engagement.</w:t>
      </w:r>
    </w:p>
    <w:p w14:paraId="5ABFCA41" w14:textId="3CF9F5D2" w:rsidR="00AA0BB3" w:rsidRPr="00F8177B" w:rsidRDefault="00790358" w:rsidP="000F2F1A">
      <w:r w:rsidRPr="00F8177B">
        <w:t xml:space="preserve">This policy briefing </w:t>
      </w:r>
      <w:r w:rsidR="009A6801" w:rsidRPr="00F8177B">
        <w:t xml:space="preserve">examines </w:t>
      </w:r>
      <w:r w:rsidRPr="00F8177B">
        <w:t xml:space="preserve">the role of investor collaboration in stewardship and </w:t>
      </w:r>
      <w:r w:rsidR="00792581" w:rsidRPr="00F8177B">
        <w:t>considers how</w:t>
      </w:r>
      <w:r w:rsidRPr="00F8177B">
        <w:t xml:space="preserve"> </w:t>
      </w:r>
      <w:r w:rsidR="003C5A15" w:rsidRPr="00F8177B">
        <w:t xml:space="preserve">related </w:t>
      </w:r>
      <w:r w:rsidRPr="00F8177B">
        <w:t xml:space="preserve">regulations affect the financial sector. </w:t>
      </w:r>
      <w:r w:rsidR="04128AE6" w:rsidRPr="00F8177B">
        <w:t xml:space="preserve">It </w:t>
      </w:r>
      <w:r w:rsidR="003C5A15" w:rsidRPr="00F8177B">
        <w:t xml:space="preserve">concludes with </w:t>
      </w:r>
      <w:r w:rsidR="003D6023">
        <w:rPr>
          <w:rFonts w:eastAsia="DengXian" w:hint="eastAsia"/>
          <w:lang w:eastAsia="zh-CN"/>
        </w:rPr>
        <w:t>recommendations</w:t>
      </w:r>
      <w:r w:rsidR="04128AE6" w:rsidRPr="00F8177B">
        <w:t xml:space="preserve"> for</w:t>
      </w:r>
      <w:r w:rsidRPr="00F8177B">
        <w:t xml:space="preserve"> policymakers to reassess the existing legal framework for investor collaboration</w:t>
      </w:r>
      <w:r w:rsidR="60D991E3" w:rsidRPr="00F8177B">
        <w:t xml:space="preserve"> to provide clarity for investors seeking to utilize this tool</w:t>
      </w:r>
      <w:r w:rsidRPr="00F8177B">
        <w:t>.</w:t>
      </w:r>
    </w:p>
    <w:p w14:paraId="6D18CE75" w14:textId="77777777" w:rsidR="00F92AF6" w:rsidRDefault="00000000" w:rsidP="000F2F1A">
      <w:hyperlink r:id="rId11">
        <w:r w:rsidR="00D62BBC" w:rsidRPr="00F92AF6">
          <w:rPr>
            <w:rStyle w:val="Hyperlink"/>
          </w:rPr>
          <w:t>A Legal Framework for Impact</w:t>
        </w:r>
      </w:hyperlink>
      <w:r w:rsidR="00D62BBC" w:rsidRPr="00F92AF6">
        <w:t>, authored by Freshfields Bruckhaus Deringer and commissioned by the PRI, UNEP FI and the Generation Foundation</w:t>
      </w:r>
      <w:r w:rsidR="00D62BBC" w:rsidRPr="00F8177B">
        <w:t>, finds that in the 11 jurisdictions analysed</w:t>
      </w:r>
      <w:r w:rsidR="00C91183" w:rsidRPr="00F8177B">
        <w:rPr>
          <w:b/>
          <w:bCs/>
        </w:rPr>
        <w:t xml:space="preserve">, </w:t>
      </w:r>
      <w:r w:rsidR="00D62BBC" w:rsidRPr="00F8177B">
        <w:t>while there are differences across jurisdictions and investor groups, where investing for sustainability impact approaches can be effective in achieving an investor’s financial goals, the investor will likely be required to consider using them and act accordingly.</w:t>
      </w:r>
      <w:r w:rsidR="0061737F" w:rsidRPr="00F8177B">
        <w:t xml:space="preserve"> </w:t>
      </w:r>
    </w:p>
    <w:p w14:paraId="7CB273DE" w14:textId="5F86EA5E" w:rsidR="00D73C04" w:rsidRPr="00F8177B" w:rsidRDefault="00B9715C" w:rsidP="000F2F1A">
      <w:r w:rsidRPr="00F8177B">
        <w:t>I</w:t>
      </w:r>
      <w:r w:rsidR="0061737F" w:rsidRPr="00F8177B">
        <w:t>nvestor collaboration to achieve sustainability impact goals can allow for a more impactful approach and help to spread the cost of engagement</w:t>
      </w:r>
      <w:r w:rsidR="00AA26EA" w:rsidRPr="00F8177B">
        <w:t>. This will</w:t>
      </w:r>
      <w:r w:rsidR="0061737F" w:rsidRPr="00F8177B">
        <w:t xml:space="preserve"> reduc</w:t>
      </w:r>
      <w:r w:rsidR="00AA26EA" w:rsidRPr="00F8177B">
        <w:t>e</w:t>
      </w:r>
      <w:r w:rsidR="0061737F" w:rsidRPr="00F8177B">
        <w:t xml:space="preserve"> the unit costs for individual investors, ultimately benefiting consumers.</w:t>
      </w:r>
      <w:r w:rsidR="001F53F4" w:rsidRPr="00F8177B">
        <w:t xml:space="preserve"> The case for investor collaboration is even stronger for addressing systemic risks</w:t>
      </w:r>
      <w:r w:rsidR="00AA26EA" w:rsidRPr="00F8177B">
        <w:t>, which are caused by</w:t>
      </w:r>
      <w:r w:rsidR="001F53F4" w:rsidRPr="00F8177B">
        <w:t xml:space="preserve"> what are sometimes called ‘collective action problems’</w:t>
      </w:r>
      <w:r w:rsidR="00AA26EA" w:rsidRPr="00F8177B">
        <w:t>. These</w:t>
      </w:r>
      <w:r w:rsidR="001F53F4" w:rsidRPr="00F8177B">
        <w:t xml:space="preserve"> require widespread cooperation to resolve.</w:t>
      </w:r>
      <w:r w:rsidR="001F53F4" w:rsidRPr="00F8177B">
        <w:rPr>
          <w:rStyle w:val="FootnoteReference"/>
        </w:rPr>
        <w:footnoteReference w:id="2"/>
      </w:r>
      <w:r w:rsidR="00D62BBC" w:rsidRPr="00F8177B">
        <w:t xml:space="preserve"> </w:t>
      </w:r>
      <w:r w:rsidR="007C72D9" w:rsidRPr="00F8177B">
        <w:t xml:space="preserve">Our research on regulations </w:t>
      </w:r>
      <w:r w:rsidR="00964788" w:rsidRPr="00F8177B">
        <w:t xml:space="preserve">relevant </w:t>
      </w:r>
      <w:r w:rsidR="00652F7B" w:rsidRPr="00F8177B">
        <w:t>to investor collaboration in</w:t>
      </w:r>
      <w:r w:rsidR="00752A72" w:rsidRPr="00F8177B">
        <w:t xml:space="preserve"> </w:t>
      </w:r>
      <w:r w:rsidR="00D73C04" w:rsidRPr="00F8177B">
        <w:t>four market</w:t>
      </w:r>
      <w:r w:rsidR="1B461230" w:rsidRPr="00F8177B">
        <w:t>s</w:t>
      </w:r>
      <w:r w:rsidR="00752A72" w:rsidRPr="00F8177B">
        <w:t xml:space="preserve"> (the UK, Germany, South Africa and the US)</w:t>
      </w:r>
      <w:r w:rsidR="00D73C04" w:rsidRPr="00F8177B">
        <w:t xml:space="preserve"> echo the findings of the Legal Framework for Impact research. While there are limits to collaborative activities, the findings show that</w:t>
      </w:r>
      <w:r w:rsidR="7A9884C8" w:rsidRPr="00F8177B">
        <w:t xml:space="preserve"> current</w:t>
      </w:r>
      <w:r w:rsidR="00D73C04" w:rsidRPr="00F8177B">
        <w:t xml:space="preserve"> regulation should not be interpreted by institutional investors as preventing </w:t>
      </w:r>
      <w:r w:rsidR="00A26C84" w:rsidRPr="00F8177B">
        <w:t xml:space="preserve">investor collaboration </w:t>
      </w:r>
      <w:r w:rsidR="00D73C04" w:rsidRPr="00F8177B">
        <w:t xml:space="preserve">on ESG issues. </w:t>
      </w:r>
    </w:p>
    <w:p w14:paraId="3ECA2B93" w14:textId="36FF30A0" w:rsidR="00AB143D" w:rsidRPr="00F8177B" w:rsidRDefault="00D73C04" w:rsidP="000F2F1A">
      <w:r w:rsidRPr="00F8177B">
        <w:t xml:space="preserve">However, some investors </w:t>
      </w:r>
      <w:r w:rsidR="00AA26EA" w:rsidRPr="00F8177B">
        <w:t xml:space="preserve">hesitate to </w:t>
      </w:r>
      <w:r w:rsidRPr="00F8177B">
        <w:t>engag</w:t>
      </w:r>
      <w:r w:rsidR="00AA26EA" w:rsidRPr="00F8177B">
        <w:t>e</w:t>
      </w:r>
      <w:r w:rsidRPr="00F8177B">
        <w:t xml:space="preserve"> in </w:t>
      </w:r>
      <w:r w:rsidR="00EF569B" w:rsidRPr="00F8177B">
        <w:t xml:space="preserve">investor collaboration on ESG issues </w:t>
      </w:r>
      <w:r w:rsidRPr="00F8177B">
        <w:t xml:space="preserve">due to a perceived risk of triggering </w:t>
      </w:r>
      <w:r w:rsidR="00133A3F" w:rsidRPr="00F8177B">
        <w:t>competition</w:t>
      </w:r>
      <w:r w:rsidR="00321287" w:rsidRPr="00F8177B">
        <w:t xml:space="preserve"> or acting in concert</w:t>
      </w:r>
      <w:r w:rsidRPr="00F8177B">
        <w:t xml:space="preserve"> </w:t>
      </w:r>
      <w:r w:rsidR="00133A3F" w:rsidRPr="00F8177B">
        <w:t>regulations</w:t>
      </w:r>
      <w:r w:rsidRPr="00F8177B">
        <w:t xml:space="preserve">. Our </w:t>
      </w:r>
      <w:r w:rsidR="009F6880" w:rsidRPr="00F8177B">
        <w:t xml:space="preserve">analysis </w:t>
      </w:r>
      <w:r w:rsidRPr="00F8177B">
        <w:t>suggest</w:t>
      </w:r>
      <w:r w:rsidR="009F6880" w:rsidRPr="00F8177B">
        <w:t>s</w:t>
      </w:r>
      <w:r w:rsidRPr="00F8177B">
        <w:t xml:space="preserve"> that existing regulatory frameworks may fall short of providing sufficient clarity and predictability to guide good practices for investor collaboration.</w:t>
      </w:r>
      <w:r w:rsidR="006F3BC5" w:rsidRPr="00F8177B">
        <w:t xml:space="preserve"> Additional clarity from regulators</w:t>
      </w:r>
      <w:r w:rsidR="003F6DF1" w:rsidRPr="00F8177B">
        <w:t xml:space="preserve"> could </w:t>
      </w:r>
      <w:r w:rsidR="00682020" w:rsidRPr="00F8177B">
        <w:t xml:space="preserve">provide </w:t>
      </w:r>
      <w:r w:rsidR="002D269C" w:rsidRPr="00F8177B">
        <w:t>crucial</w:t>
      </w:r>
      <w:r w:rsidR="00682020" w:rsidRPr="00F8177B">
        <w:t xml:space="preserve"> predictability</w:t>
      </w:r>
      <w:r w:rsidR="002D269C" w:rsidRPr="00F8177B">
        <w:t xml:space="preserve"> to support investors </w:t>
      </w:r>
      <w:r w:rsidR="00AA26EA" w:rsidRPr="00F8177B">
        <w:t>to</w:t>
      </w:r>
      <w:r w:rsidR="00B45B16" w:rsidRPr="00F8177B">
        <w:t xml:space="preserve"> collaborat</w:t>
      </w:r>
      <w:r w:rsidR="00AA26EA" w:rsidRPr="00F8177B">
        <w:t>e</w:t>
      </w:r>
      <w:r w:rsidR="00B45B16" w:rsidRPr="00F8177B">
        <w:t xml:space="preserve"> </w:t>
      </w:r>
      <w:r w:rsidR="10FC4896" w:rsidRPr="00F8177B">
        <w:t>in their efforts to address</w:t>
      </w:r>
      <w:r w:rsidR="00B45B16" w:rsidRPr="00F8177B">
        <w:t xml:space="preserve"> sustainability goals</w:t>
      </w:r>
      <w:r w:rsidRPr="00F8177B">
        <w:t>.</w:t>
      </w:r>
    </w:p>
    <w:p w14:paraId="47521FD1" w14:textId="3CF8E4C4" w:rsidR="00AB143D" w:rsidRPr="00F8177B" w:rsidRDefault="00CD4D57" w:rsidP="000F2F1A">
      <w:r w:rsidRPr="00F8177B">
        <w:t xml:space="preserve">Further policy </w:t>
      </w:r>
      <w:r w:rsidR="00D04467" w:rsidRPr="00F8177B">
        <w:t xml:space="preserve">updates </w:t>
      </w:r>
      <w:r w:rsidRPr="00F8177B">
        <w:t xml:space="preserve">are needed to </w:t>
      </w:r>
      <w:r w:rsidR="00D04467" w:rsidRPr="00F8177B">
        <w:t xml:space="preserve">mitigate enduring </w:t>
      </w:r>
      <w:r w:rsidRPr="00F8177B">
        <w:t>uncertaint</w:t>
      </w:r>
      <w:r w:rsidR="00D04467" w:rsidRPr="00F8177B">
        <w:t>y</w:t>
      </w:r>
      <w:r w:rsidRPr="00F8177B">
        <w:t xml:space="preserve"> relating to </w:t>
      </w:r>
      <w:r w:rsidR="00CA168E" w:rsidRPr="00F8177B">
        <w:t>acting in concert and competition</w:t>
      </w:r>
      <w:r w:rsidRPr="00F8177B">
        <w:t xml:space="preserve"> rules</w:t>
      </w:r>
      <w:r w:rsidR="005F258A" w:rsidRPr="00F8177B">
        <w:t>,</w:t>
      </w:r>
      <w:r w:rsidRPr="00F8177B">
        <w:t xml:space="preserve"> and ensure that investors </w:t>
      </w:r>
      <w:r w:rsidR="672EA1BD" w:rsidRPr="00F8177B">
        <w:t>feel confident</w:t>
      </w:r>
      <w:r w:rsidRPr="00F8177B">
        <w:t xml:space="preserve"> to undertake sufficient </w:t>
      </w:r>
      <w:r w:rsidR="5F1DFB1D" w:rsidRPr="00F8177B">
        <w:t xml:space="preserve">related </w:t>
      </w:r>
      <w:r w:rsidRPr="00F8177B">
        <w:t xml:space="preserve">action to manage ESG risks and achieve sustainability goals. </w:t>
      </w:r>
      <w:r w:rsidR="00D73C04" w:rsidRPr="00F8177B">
        <w:t xml:space="preserve">This policy briefing </w:t>
      </w:r>
      <w:r w:rsidR="00B9118F" w:rsidRPr="00F8177B">
        <w:t xml:space="preserve">sets out </w:t>
      </w:r>
      <w:r w:rsidR="00877716" w:rsidRPr="00F8177B">
        <w:t>possible reforms</w:t>
      </w:r>
      <w:r w:rsidR="00B9118F" w:rsidRPr="00F8177B">
        <w:t xml:space="preserve"> for policymakers to consider </w:t>
      </w:r>
      <w:r w:rsidR="00F21992" w:rsidRPr="00F8177B">
        <w:t>in reforming</w:t>
      </w:r>
      <w:r w:rsidR="00F43D11" w:rsidRPr="00F8177B">
        <w:t xml:space="preserve"> regulatory framework</w:t>
      </w:r>
      <w:r w:rsidR="005F258A" w:rsidRPr="00F8177B">
        <w:t>s</w:t>
      </w:r>
      <w:r w:rsidR="00F43D11" w:rsidRPr="00F8177B">
        <w:t xml:space="preserve"> governing investor collaboration </w:t>
      </w:r>
      <w:r w:rsidR="00B9118F" w:rsidRPr="00F8177B">
        <w:t xml:space="preserve">and </w:t>
      </w:r>
      <w:r w:rsidR="00D73C04" w:rsidRPr="00F8177B">
        <w:t>also highlights examples of good policy practices.</w:t>
      </w:r>
      <w:r w:rsidR="00F63C3C" w:rsidRPr="00F8177B">
        <w:t xml:space="preserve"> </w:t>
      </w:r>
      <w:r w:rsidR="00877716" w:rsidRPr="00F8177B">
        <w:t>Key policy reform options include:</w:t>
      </w:r>
      <w:r w:rsidR="00F63C3C" w:rsidRPr="00F8177B">
        <w:t xml:space="preserve"> </w:t>
      </w:r>
    </w:p>
    <w:p w14:paraId="01861024" w14:textId="2A53387F" w:rsidR="00964788" w:rsidRPr="00F8177B" w:rsidRDefault="00AA26EA" w:rsidP="007D243D">
      <w:pPr>
        <w:pStyle w:val="ListBullet"/>
      </w:pPr>
      <w:r w:rsidRPr="00F8177B">
        <w:t>c</w:t>
      </w:r>
      <w:r w:rsidR="00964788" w:rsidRPr="00F8177B">
        <w:t>larify</w:t>
      </w:r>
      <w:r w:rsidRPr="00F8177B">
        <w:t>ing</w:t>
      </w:r>
      <w:r w:rsidR="00964788" w:rsidRPr="00F8177B">
        <w:t xml:space="preserve"> that investors </w:t>
      </w:r>
      <w:r w:rsidR="00601EBC" w:rsidRPr="00F8177B">
        <w:t>can</w:t>
      </w:r>
      <w:r w:rsidR="00964788" w:rsidRPr="00F8177B">
        <w:t xml:space="preserve"> consider collaborati</w:t>
      </w:r>
      <w:r w:rsidR="00D62BBC" w:rsidRPr="00F8177B">
        <w:t>ng</w:t>
      </w:r>
      <w:r w:rsidR="00964788" w:rsidRPr="00F8177B">
        <w:t xml:space="preserve"> in seeking to achieve their sustainability objectives</w:t>
      </w:r>
      <w:r w:rsidR="00601EBC" w:rsidRPr="00F8177B">
        <w:t xml:space="preserve"> in </w:t>
      </w:r>
      <w:r w:rsidR="00C71152" w:rsidRPr="00F8177B">
        <w:t xml:space="preserve">compliance with </w:t>
      </w:r>
      <w:r w:rsidR="003833F0" w:rsidRPr="00F8177B">
        <w:t xml:space="preserve">acting in concert and competition rules. </w:t>
      </w:r>
    </w:p>
    <w:p w14:paraId="27EDD141" w14:textId="42F57DA9" w:rsidR="007D243D" w:rsidRPr="00F8177B" w:rsidRDefault="00AA26EA" w:rsidP="007D243D">
      <w:pPr>
        <w:pStyle w:val="ListBullet"/>
      </w:pPr>
      <w:r w:rsidRPr="00F8177B">
        <w:t>r</w:t>
      </w:r>
      <w:r w:rsidR="00964788" w:rsidRPr="00F8177B">
        <w:t>eview</w:t>
      </w:r>
      <w:r w:rsidRPr="00F8177B">
        <w:t>ing</w:t>
      </w:r>
      <w:r w:rsidR="00964788" w:rsidRPr="00F8177B">
        <w:t xml:space="preserve"> rules that could inhibit investor collaboration aim</w:t>
      </w:r>
      <w:r w:rsidR="004E24B2" w:rsidRPr="00F8177B">
        <w:t>ing</w:t>
      </w:r>
      <w:r w:rsidR="00964788" w:rsidRPr="00F8177B">
        <w:t xml:space="preserve"> to </w:t>
      </w:r>
      <w:r w:rsidR="394BCAB6" w:rsidRPr="00F8177B">
        <w:t xml:space="preserve">address </w:t>
      </w:r>
      <w:r w:rsidR="000C20DB" w:rsidRPr="00F8177B">
        <w:t>sustainability-related</w:t>
      </w:r>
      <w:r w:rsidR="00964788" w:rsidRPr="00F8177B">
        <w:t xml:space="preserve"> </w:t>
      </w:r>
      <w:r w:rsidR="1C07DF0E" w:rsidRPr="00F8177B">
        <w:t>risks</w:t>
      </w:r>
    </w:p>
    <w:p w14:paraId="32FE11EF" w14:textId="25534F13" w:rsidR="00503DC1" w:rsidRPr="00F92AF6" w:rsidRDefault="00AA26EA" w:rsidP="007D243D">
      <w:pPr>
        <w:pStyle w:val="ListBullet"/>
      </w:pPr>
      <w:r w:rsidRPr="00F8177B">
        <w:t>c</w:t>
      </w:r>
      <w:r w:rsidR="006E3430" w:rsidRPr="00F8177B">
        <w:t>onsider</w:t>
      </w:r>
      <w:r w:rsidRPr="00F8177B">
        <w:t>ing</w:t>
      </w:r>
      <w:r w:rsidR="00964788" w:rsidRPr="00F92AF6">
        <w:t xml:space="preserve"> a whole</w:t>
      </w:r>
      <w:r w:rsidR="00577EA6" w:rsidRPr="00F92AF6">
        <w:t>-</w:t>
      </w:r>
      <w:r w:rsidR="00964788" w:rsidRPr="00F92AF6">
        <w:t>of</w:t>
      </w:r>
      <w:r w:rsidR="00577EA6" w:rsidRPr="00F92AF6">
        <w:t>-</w:t>
      </w:r>
      <w:r w:rsidR="00964788" w:rsidRPr="00F92AF6">
        <w:t xml:space="preserve">government approach to better integrating sustainability </w:t>
      </w:r>
      <w:r w:rsidR="00C766A1" w:rsidRPr="00F92AF6">
        <w:t>impacts</w:t>
      </w:r>
      <w:r w:rsidR="00ED4347" w:rsidRPr="00F92AF6">
        <w:t xml:space="preserve"> </w:t>
      </w:r>
      <w:r w:rsidR="00964788" w:rsidRPr="00F92AF6">
        <w:t xml:space="preserve">in the </w:t>
      </w:r>
      <w:r w:rsidR="0006278B" w:rsidRPr="00F92AF6">
        <w:t>legal analysis under</w:t>
      </w:r>
      <w:r w:rsidR="00964788" w:rsidRPr="00F92AF6">
        <w:t xml:space="preserve"> acting in concert rules and competition law </w:t>
      </w:r>
    </w:p>
    <w:p w14:paraId="7CCB4C73" w14:textId="78ACF39E" w:rsidR="00503DC1" w:rsidRPr="00F92AF6" w:rsidRDefault="00503DC1" w:rsidP="00503DC1">
      <w:pPr>
        <w:pStyle w:val="Heading1"/>
      </w:pPr>
      <w:bookmarkStart w:id="9" w:name="_Toc172287032"/>
      <w:r w:rsidRPr="00F92AF6">
        <w:lastRenderedPageBreak/>
        <w:t>KEY TERMS</w:t>
      </w:r>
      <w:bookmarkEnd w:id="9"/>
      <w:r w:rsidRPr="00F92AF6">
        <w:t xml:space="preserve"> </w:t>
      </w:r>
    </w:p>
    <w:p w14:paraId="42BE5A24" w14:textId="77777777" w:rsidR="00C61AC5" w:rsidRPr="00F92AF6" w:rsidRDefault="00C61AC5">
      <w:pPr>
        <w:spacing w:before="0" w:after="160" w:line="259" w:lineRule="auto"/>
      </w:pPr>
      <w:r w:rsidRPr="00F92AF6">
        <w:t xml:space="preserve">The following terms are used throughout this report: </w:t>
      </w:r>
    </w:p>
    <w:p w14:paraId="08DBA24E" w14:textId="4D53EC0A" w:rsidR="002A167F" w:rsidRPr="00F92AF6" w:rsidRDefault="17FE73AC" w:rsidP="002A167F">
      <w:pPr>
        <w:pStyle w:val="ListBullet"/>
      </w:pPr>
      <w:r w:rsidRPr="00F92AF6">
        <w:rPr>
          <w:b/>
          <w:bCs/>
        </w:rPr>
        <w:t>Engagement</w:t>
      </w:r>
      <w:r w:rsidRPr="00F92AF6">
        <w:t xml:space="preserve">: </w:t>
      </w:r>
      <w:r w:rsidR="00045F2A" w:rsidRPr="00F8177B">
        <w:t>i</w:t>
      </w:r>
      <w:r w:rsidRPr="00F8177B">
        <w:t>nteractions and dialogue conducted between an investor, or their service provider and a current or potential investee (e.g. company), or a non-issuer stakeholder (e.g. an external investment manager or policy maker) to improve practice on an ESG factor, make progress on sustainability outcomes, or improve public disclosure. In private markets, engagement also refers to investors’ dialogue with management teams and/or Board of portfolio companies and/or real assets. </w:t>
      </w:r>
    </w:p>
    <w:p w14:paraId="432E6910" w14:textId="7E1A4709" w:rsidR="00D90DF0" w:rsidRPr="00F92AF6" w:rsidRDefault="17FE73AC" w:rsidP="00D90DF0">
      <w:pPr>
        <w:pStyle w:val="ListBullet"/>
        <w:rPr>
          <w:b/>
          <w:bCs/>
        </w:rPr>
      </w:pPr>
      <w:r w:rsidRPr="00F92AF6">
        <w:rPr>
          <w:b/>
          <w:bCs/>
        </w:rPr>
        <w:t xml:space="preserve">Collaborative engagements: </w:t>
      </w:r>
      <w:r w:rsidRPr="00F92AF6">
        <w:t xml:space="preserve">also known as, </w:t>
      </w:r>
      <w:r w:rsidRPr="00F92AF6">
        <w:rPr>
          <w:b/>
          <w:bCs/>
        </w:rPr>
        <w:t xml:space="preserve">investor </w:t>
      </w:r>
      <w:r w:rsidRPr="00F8177B">
        <w:rPr>
          <w:b/>
          <w:bCs/>
        </w:rPr>
        <w:t>collaboration</w:t>
      </w:r>
      <w:r w:rsidRPr="00F8177B">
        <w:t xml:space="preserve"> in the context of stewardship. It refers to investors or their service providers working together, and/or with other stakeholders, to pool resources and enhance their effectiveness in pursuing their stewardship objectives. It must comply with all applicable laws and regulations, and must not include the exchange of non-public, competitively or commercially sensitive information. Collaboration can include sharing </w:t>
      </w:r>
      <w:r w:rsidR="4D67A8A7" w:rsidRPr="00F8177B">
        <w:t>best practices on</w:t>
      </w:r>
      <w:r w:rsidRPr="00F8177B">
        <w:t xml:space="preserve"> how to approach an issue with peers, collaborative engagements or initiatives, or the use of an external service provider (e.g. engagement overlay service) that pools resources from multiple investors.</w:t>
      </w:r>
    </w:p>
    <w:p w14:paraId="065588D5" w14:textId="19926155" w:rsidR="00D90DF0" w:rsidRPr="00F92AF6" w:rsidRDefault="17FE73AC" w:rsidP="00D90DF0">
      <w:pPr>
        <w:pStyle w:val="ListBullet"/>
      </w:pPr>
      <w:r w:rsidRPr="00F8177B">
        <w:rPr>
          <w:b/>
          <w:bCs/>
        </w:rPr>
        <w:t>Stewardship:</w:t>
      </w:r>
      <w:r w:rsidRPr="00F8177B">
        <w:rPr>
          <w:rFonts w:eastAsiaTheme="minorEastAsia" w:cs="Arial"/>
          <w:color w:val="000000" w:themeColor="text1"/>
        </w:rPr>
        <w:t xml:space="preserve"> </w:t>
      </w:r>
      <w:r w:rsidR="00045F2A" w:rsidRPr="00F8177B">
        <w:t>the use of investor rights</w:t>
      </w:r>
      <w:r w:rsidR="00A201A0" w:rsidRPr="00F8177B">
        <w:t xml:space="preserve"> and influence</w:t>
      </w:r>
      <w:r w:rsidR="00045F2A" w:rsidRPr="00F8177B">
        <w:rPr>
          <w:b/>
          <w:bCs/>
        </w:rPr>
        <w:t xml:space="preserve"> </w:t>
      </w:r>
      <w:r w:rsidR="00045F2A" w:rsidRPr="00F8177B">
        <w:t>to protect and enhance overall long-term value for clients and beneficiaries, including the common economic, social and environmental assets on which their interests depend</w:t>
      </w:r>
      <w:r w:rsidRPr="00F8177B">
        <w:t>. Effective stewardship includes Active Ownership 2.0, a form of stewardship that prioritises actions to shape sustainability outcomes in order to address system-level risks, instead of a narrow focus on the inputs and processes used in stewardship.</w:t>
      </w:r>
      <w:r w:rsidRPr="00F8177B">
        <w:rPr>
          <w:b/>
          <w:bCs/>
        </w:rPr>
        <w:t xml:space="preserve"> </w:t>
      </w:r>
    </w:p>
    <w:p w14:paraId="0EE9B83F" w14:textId="77777777" w:rsidR="00114B84" w:rsidRPr="00F92AF6" w:rsidRDefault="00114B84" w:rsidP="00114B84">
      <w:pPr>
        <w:pStyle w:val="ListBullet"/>
      </w:pPr>
      <w:r w:rsidRPr="00F8177B">
        <w:rPr>
          <w:b/>
          <w:bCs/>
        </w:rPr>
        <w:t>Sustainability outcomes</w:t>
      </w:r>
      <w:r w:rsidRPr="00F8177B">
        <w:t>: the real-world sustainability outcomes of human activity, which includes actions by investors. Positive sustainability outcomes are those aligned with global sustainability goals, such as the goals of the Paris Agreement and the UN Sustainable Development Goals (SDGs), as well as with the UN Guiding Principles on Business and Human Rights, the International Bill of Human Rights and International Labour Organization conventions.</w:t>
      </w:r>
    </w:p>
    <w:p w14:paraId="486F4174" w14:textId="77777777" w:rsidR="00E439DE" w:rsidRPr="00F92AF6" w:rsidRDefault="00704788" w:rsidP="00114B84">
      <w:pPr>
        <w:pStyle w:val="ListBullet"/>
      </w:pPr>
      <w:r w:rsidRPr="00F8177B">
        <w:rPr>
          <w:b/>
          <w:bCs/>
        </w:rPr>
        <w:t xml:space="preserve">System-level risks: </w:t>
      </w:r>
      <w:r w:rsidR="00E439DE" w:rsidRPr="00F8177B">
        <w:t xml:space="preserve">a catch-all term for systematic risk and systemic risk, both of which have implications for investment performance. </w:t>
      </w:r>
    </w:p>
    <w:p w14:paraId="74792A9D" w14:textId="2C8A4CA1" w:rsidR="00E439DE" w:rsidRPr="00F92AF6" w:rsidRDefault="00E439DE" w:rsidP="00E439DE">
      <w:pPr>
        <w:pStyle w:val="Subtitle"/>
      </w:pPr>
      <w:r w:rsidRPr="00F8177B">
        <w:t xml:space="preserve">Systematic risk: risk transmitted through financial markets and economies that affects aggregate outcomes, such as broad market returns. The term is interchangeable with </w:t>
      </w:r>
      <w:r w:rsidR="006461AE" w:rsidRPr="00F8177B">
        <w:t>‘</w:t>
      </w:r>
      <w:r w:rsidRPr="00F8177B">
        <w:t>market risk</w:t>
      </w:r>
      <w:r w:rsidR="006461AE" w:rsidRPr="00F8177B">
        <w:t>’</w:t>
      </w:r>
      <w:r w:rsidRPr="00F8177B">
        <w:t xml:space="preserve"> or </w:t>
      </w:r>
      <w:r w:rsidR="006461AE" w:rsidRPr="00F8177B">
        <w:t>‘</w:t>
      </w:r>
      <w:r w:rsidRPr="00F8177B">
        <w:t>market-wide risk</w:t>
      </w:r>
      <w:r w:rsidR="006461AE" w:rsidRPr="00F8177B">
        <w:t>’</w:t>
      </w:r>
      <w:r w:rsidRPr="00F8177B">
        <w:t xml:space="preserve">. Because systematic risk occurs at a scale greater than a single company, sector or geography, it cannot be hedged or mitigated through diversification. One example of a sustainability-related systematic risk is the risk of reduced global economic growth due to sustained physical impacts of climate disruption; another is the opportunity cost associated with failing to meet the SDGs. </w:t>
      </w:r>
    </w:p>
    <w:p w14:paraId="5850B6D1" w14:textId="14B25571" w:rsidR="0019131A" w:rsidRPr="00F92AF6" w:rsidRDefault="00E439DE" w:rsidP="00E439DE">
      <w:pPr>
        <w:pStyle w:val="Subtitle"/>
      </w:pPr>
      <w:r w:rsidRPr="00F8177B">
        <w:t xml:space="preserve">Systemic risk: the risk that an event at a particular point in time or a chronic economic condition destabilises the financial system or leads to its collapse. An example of a systemic risk materialising would be a number of </w:t>
      </w:r>
      <w:r w:rsidR="006461AE" w:rsidRPr="00F8177B">
        <w:t>‘</w:t>
      </w:r>
      <w:r w:rsidRPr="00F8177B">
        <w:t>too-big-to-fail</w:t>
      </w:r>
      <w:r w:rsidR="006461AE" w:rsidRPr="00F8177B">
        <w:t>’</w:t>
      </w:r>
      <w:r w:rsidRPr="00F8177B">
        <w:t xml:space="preserve"> financial institutions defaulting on obligations to their creditors or investors. An example of a sustainability-related systemic risk would be a sudden repricing of assets across the fossil fuel sector, resulting in cascading defaults that destabilise financial markets – this is sometimes referred to as a potential </w:t>
      </w:r>
      <w:r w:rsidR="006461AE" w:rsidRPr="00F8177B">
        <w:t>‘</w:t>
      </w:r>
      <w:r w:rsidRPr="00F8177B">
        <w:t>climate Minsky moment</w:t>
      </w:r>
      <w:r w:rsidR="006461AE" w:rsidRPr="00F8177B">
        <w:t>’</w:t>
      </w:r>
      <w:r w:rsidRPr="00F8177B">
        <w:t xml:space="preserve">. </w:t>
      </w:r>
    </w:p>
    <w:p w14:paraId="1815A1B6" w14:textId="38F173AE" w:rsidR="00503DC1" w:rsidRPr="00F92AF6" w:rsidRDefault="00503DC1" w:rsidP="002A167F">
      <w:pPr>
        <w:pStyle w:val="Subtitle"/>
        <w:numPr>
          <w:ilvl w:val="0"/>
          <w:numId w:val="0"/>
        </w:numPr>
        <w:ind w:left="720"/>
      </w:pPr>
      <w:r w:rsidRPr="00F92AF6">
        <w:br w:type="page"/>
      </w:r>
    </w:p>
    <w:p w14:paraId="65023D34" w14:textId="70EB8867" w:rsidR="000E4EFA" w:rsidRPr="00F8177B" w:rsidRDefault="008E1EF5" w:rsidP="000F2F1A">
      <w:pPr>
        <w:pStyle w:val="Heading1"/>
      </w:pPr>
      <w:bookmarkStart w:id="10" w:name="_Toc172287033"/>
      <w:r w:rsidRPr="00F8177B">
        <w:lastRenderedPageBreak/>
        <w:t>The case for stewardship and investor collaboration</w:t>
      </w:r>
      <w:bookmarkEnd w:id="10"/>
    </w:p>
    <w:p w14:paraId="08311A81" w14:textId="34E04CD8" w:rsidR="003C0DDE" w:rsidRPr="00F8177B" w:rsidRDefault="003C0DDE" w:rsidP="000F2F1A">
      <w:pPr>
        <w:pStyle w:val="Heading2"/>
      </w:pPr>
      <w:bookmarkStart w:id="11" w:name="_Toc172287034"/>
      <w:r w:rsidRPr="00F8177B">
        <w:t>Sustainable investment and stewardship</w:t>
      </w:r>
      <w:bookmarkEnd w:id="11"/>
      <w:r w:rsidRPr="00F8177B">
        <w:t xml:space="preserve"> </w:t>
      </w:r>
    </w:p>
    <w:p w14:paraId="2F8DA729" w14:textId="53AFEF73" w:rsidR="005B7F85" w:rsidRPr="00F8177B" w:rsidRDefault="005B7F85" w:rsidP="000F2F1A">
      <w:r w:rsidRPr="00F8177B">
        <w:t>Financial investments drive real-world outcomes on issues such as climate change, sustainable development and human rights – whether the</w:t>
      </w:r>
      <w:r w:rsidR="00182C36" w:rsidRPr="00F8177B">
        <w:t>se outcomes</w:t>
      </w:r>
      <w:r w:rsidRPr="00F8177B">
        <w:t xml:space="preserve"> are intended or not. Investors increasingly recognise that financial returns depend on the stability of social and environmental systems, especially in the long term. This is driving investors to </w:t>
      </w:r>
      <w:r w:rsidR="007A7AE5" w:rsidRPr="00F8177B">
        <w:t>consider</w:t>
      </w:r>
      <w:r w:rsidRPr="00F8177B">
        <w:t xml:space="preserve"> what they can do to improve sustainability outcomes and</w:t>
      </w:r>
      <w:r w:rsidR="004640B4" w:rsidRPr="00F8177B">
        <w:t>,</w:t>
      </w:r>
      <w:r w:rsidRPr="00F8177B">
        <w:t xml:space="preserve"> </w:t>
      </w:r>
      <w:r w:rsidR="004640B4" w:rsidRPr="00F8177B">
        <w:t>in particular,</w:t>
      </w:r>
      <w:r w:rsidRPr="00F8177B">
        <w:t xml:space="preserve"> to addres</w:t>
      </w:r>
      <w:r w:rsidR="007412F0" w:rsidRPr="00F8177B">
        <w:t>s</w:t>
      </w:r>
      <w:r w:rsidRPr="00F8177B">
        <w:t xml:space="preserve"> </w:t>
      </w:r>
      <w:r w:rsidR="007412F0" w:rsidRPr="00F8177B">
        <w:t>system-level</w:t>
      </w:r>
      <w:r w:rsidRPr="00F8177B">
        <w:t xml:space="preserve"> risks </w:t>
      </w:r>
      <w:r w:rsidR="4E0BE712" w:rsidRPr="00F8177B">
        <w:t xml:space="preserve">that </w:t>
      </w:r>
      <w:r w:rsidRPr="00F8177B">
        <w:t>will not only have an immediate impact on society but could also have significant, unpredictable, and non-linear consequences for economic performance and investors’ financial returns.</w:t>
      </w:r>
    </w:p>
    <w:p w14:paraId="6852A696" w14:textId="4997FC2A" w:rsidR="005B7F85" w:rsidRPr="00F8177B" w:rsidRDefault="005B7F85" w:rsidP="007C5046">
      <w:pPr>
        <w:pStyle w:val="BodyText"/>
        <w:spacing w:line="288" w:lineRule="auto"/>
      </w:pPr>
      <w:r w:rsidRPr="00F8177B">
        <w:t>To maintain and improve long-term financial performance in the best interests of clients and beneficiaries, institutional investors have a responsibility to consider whether any of the sustainability risks mentioned above have a bearing on their ability to meet their legal obligations and, if so, how they can mitigate those risks.</w:t>
      </w:r>
      <w:r w:rsidRPr="00F8177B">
        <w:rPr>
          <w:vertAlign w:val="superscript"/>
        </w:rPr>
        <w:footnoteReference w:id="3"/>
      </w:r>
      <w:r w:rsidRPr="00F8177B">
        <w:t xml:space="preserve"> This may require them to consider how their individual and collective actions can shape sustainability outcomes, </w:t>
      </w:r>
      <w:r w:rsidR="00577EA6" w:rsidRPr="00F8177B">
        <w:t>contributing</w:t>
      </w:r>
      <w:r w:rsidRPr="00F8177B">
        <w:t xml:space="preserve"> to what can be called </w:t>
      </w:r>
      <w:r w:rsidR="00577EA6" w:rsidRPr="00F8177B">
        <w:t>‘</w:t>
      </w:r>
      <w:r w:rsidRPr="00F8177B">
        <w:t>better beta</w:t>
      </w:r>
      <w:r w:rsidR="00577EA6" w:rsidRPr="00F8177B">
        <w:t>’</w:t>
      </w:r>
      <w:r w:rsidRPr="00F8177B">
        <w:t xml:space="preserve"> – or</w:t>
      </w:r>
      <w:r w:rsidR="00467AB1" w:rsidRPr="00F8177B">
        <w:t xml:space="preserve"> </w:t>
      </w:r>
      <w:r w:rsidRPr="00F8177B">
        <w:t>reduced system-level risks – which could improve financial outcomes over the long term.</w:t>
      </w:r>
      <w:r w:rsidRPr="00F8177B">
        <w:rPr>
          <w:vertAlign w:val="superscript"/>
        </w:rPr>
        <w:footnoteReference w:id="4"/>
      </w:r>
    </w:p>
    <w:p w14:paraId="40E1974D" w14:textId="67B70C74" w:rsidR="00E4670B" w:rsidRPr="00F8177B" w:rsidRDefault="17FE73AC" w:rsidP="000F2F1A">
      <w:r w:rsidRPr="00F8177B">
        <w:t>Investors can pursue improved sustainability outcomes/impacts through their use of investment powers, and stewardship</w:t>
      </w:r>
      <w:r w:rsidR="00446C07" w:rsidRPr="00F8177B">
        <w:t>.</w:t>
      </w:r>
      <w:r w:rsidRPr="00F8177B">
        <w:t xml:space="preserve"> </w:t>
      </w:r>
      <w:r w:rsidR="00446C07" w:rsidRPr="00F8177B">
        <w:t>These can also be</w:t>
      </w:r>
      <w:r w:rsidRPr="00F8177B">
        <w:t xml:space="preserve"> focused on investees</w:t>
      </w:r>
      <w:r w:rsidR="00446C07" w:rsidRPr="00F8177B">
        <w:t xml:space="preserve">, </w:t>
      </w:r>
      <w:r w:rsidRPr="00F8177B">
        <w:t>policymakers</w:t>
      </w:r>
      <w:r w:rsidR="00446C07" w:rsidRPr="00F8177B">
        <w:t>,</w:t>
      </w:r>
      <w:r w:rsidRPr="00F8177B">
        <w:t xml:space="preserve"> and other stakeholders. Which of these it is appropriate for an investor to deploy in pursuing a given sustainability impact goal, and in what combination, will depend upon the precise circumstances and </w:t>
      </w:r>
      <w:r w:rsidR="00446C07" w:rsidRPr="00F8177B">
        <w:t xml:space="preserve">the </w:t>
      </w:r>
      <w:r w:rsidRPr="00F8177B">
        <w:t>investor’s discretion. In practice these approaches are inter-connected and likely to be most effective when used in combination. Legal attention has until recently tended to focus on the use of investment powers. However, in public markets, there is likely to be a particular role for stewardship and policy engagement, especially when undertaken collectively</w:t>
      </w:r>
      <w:r w:rsidR="00446C07" w:rsidRPr="00F8177B">
        <w:t>. This is</w:t>
      </w:r>
      <w:r w:rsidRPr="00F8177B">
        <w:t xml:space="preserve"> known as investor collaboration or collaborative engagements. </w:t>
      </w:r>
    </w:p>
    <w:p w14:paraId="0D217C78" w14:textId="3A6093EF" w:rsidR="00D116DF" w:rsidRPr="00F8177B" w:rsidRDefault="17FE73AC" w:rsidP="000F2F1A">
      <w:r w:rsidRPr="00F8177B">
        <w:t xml:space="preserve">This policy briefing </w:t>
      </w:r>
      <w:r w:rsidR="00446C07" w:rsidRPr="00F8177B">
        <w:t>highlights concerns about current regulations and stresses</w:t>
      </w:r>
      <w:r w:rsidRPr="00F8177B">
        <w:t xml:space="preserve"> the importance of investor collaboration in stewardship</w:t>
      </w:r>
      <w:r w:rsidR="00446C07" w:rsidRPr="00F8177B">
        <w:t xml:space="preserve"> and</w:t>
      </w:r>
      <w:r w:rsidRPr="00F8177B">
        <w:t xml:space="preserve"> the way it is currently regulated</w:t>
      </w:r>
      <w:r w:rsidR="00446C07" w:rsidRPr="00F8177B">
        <w:t>.</w:t>
      </w:r>
      <w:r w:rsidRPr="00F8177B">
        <w:t xml:space="preserve"> It aims to call on relevant policymakers to re-examine the current legal framework for </w:t>
      </w:r>
      <w:r w:rsidRPr="00F92AF6">
        <w:t>investor collaboration</w:t>
      </w:r>
      <w:r w:rsidRPr="00F8177B">
        <w:t>. This policy briefing also highlights examples of good policy practices to support future reform</w:t>
      </w:r>
      <w:r w:rsidR="00446C07" w:rsidRPr="00F8177B">
        <w:t>,</w:t>
      </w:r>
      <w:r w:rsidRPr="00F8177B">
        <w:t xml:space="preserve"> aiming to remove perceived policy or regulatory barriers to effective and pro-competitive investor collaboration targeting sustainability challenges. </w:t>
      </w:r>
    </w:p>
    <w:p w14:paraId="40C898AA" w14:textId="77777777" w:rsidR="00C10C90" w:rsidRPr="00F8177B" w:rsidRDefault="00C10C90">
      <w:pPr>
        <w:spacing w:before="0" w:after="160" w:line="259" w:lineRule="auto"/>
        <w:rPr>
          <w:rFonts w:eastAsiaTheme="majorEastAsia" w:cstheme="majorBidi"/>
          <w:b/>
          <w:caps/>
          <w:color w:val="0070C0"/>
          <w:sz w:val="24"/>
          <w:szCs w:val="24"/>
        </w:rPr>
      </w:pPr>
      <w:r w:rsidRPr="00F8177B">
        <w:br w:type="page"/>
      </w:r>
    </w:p>
    <w:p w14:paraId="4C6E318C" w14:textId="0FDD8875" w:rsidR="003C0DDE" w:rsidRPr="00F8177B" w:rsidRDefault="003C0DDE" w:rsidP="000F2F1A">
      <w:pPr>
        <w:pStyle w:val="Heading3"/>
      </w:pPr>
      <w:bookmarkStart w:id="12" w:name="_Toc172287035"/>
      <w:r w:rsidRPr="00F8177B">
        <w:lastRenderedPageBreak/>
        <w:t xml:space="preserve">Stewardship as </w:t>
      </w:r>
      <w:r w:rsidR="00ED7089" w:rsidRPr="00F8177B">
        <w:t>a</w:t>
      </w:r>
      <w:r w:rsidRPr="00F8177B">
        <w:t xml:space="preserve"> key strategy for sustainable investment</w:t>
      </w:r>
      <w:bookmarkEnd w:id="12"/>
    </w:p>
    <w:p w14:paraId="2224FA2C" w14:textId="5CE93E93" w:rsidR="00686229" w:rsidRPr="00F8177B" w:rsidRDefault="00686229" w:rsidP="000F2F1A">
      <w:r w:rsidRPr="00F8177B">
        <w:t xml:space="preserve">Stewardship, also referred to as active ownership, is </w:t>
      </w:r>
      <w:r w:rsidR="00C96855" w:rsidRPr="00F8177B">
        <w:t>t</w:t>
      </w:r>
      <w:r w:rsidR="00D150D2" w:rsidRPr="00F8177B">
        <w:t>he use of investor rights</w:t>
      </w:r>
      <w:r w:rsidR="00AF1EAA" w:rsidRPr="00F8177B">
        <w:t xml:space="preserve"> and influence</w:t>
      </w:r>
      <w:r w:rsidR="00D150D2" w:rsidRPr="00F8177B">
        <w:rPr>
          <w:b/>
          <w:bCs/>
        </w:rPr>
        <w:t xml:space="preserve"> </w:t>
      </w:r>
      <w:r w:rsidR="00D150D2" w:rsidRPr="00F8177B">
        <w:t>to protect and enhance overall long-term value for clients and beneficiaries, including the common economic, social and environmental assets on which their interests depend</w:t>
      </w:r>
      <w:r w:rsidRPr="00F8177B">
        <w:t>.</w:t>
      </w:r>
      <w:r w:rsidRPr="00F8177B">
        <w:rPr>
          <w:vertAlign w:val="superscript"/>
        </w:rPr>
        <w:footnoteReference w:id="5"/>
      </w:r>
      <w:r w:rsidRPr="00F8177B">
        <w:t xml:space="preserve"> Stewardship complements and supports </w:t>
      </w:r>
      <w:r w:rsidR="007E27F1" w:rsidRPr="00F8177B">
        <w:t>diverse</w:t>
      </w:r>
      <w:r w:rsidRPr="00F8177B">
        <w:t xml:space="preserve"> aspects of sustainable investment, </w:t>
      </w:r>
      <w:r w:rsidR="007E27F1" w:rsidRPr="00F8177B">
        <w:t>including</w:t>
      </w:r>
      <w:r w:rsidRPr="00F8177B">
        <w:t xml:space="preserve"> ESG incorporation.</w:t>
      </w:r>
      <w:r w:rsidRPr="00F8177B">
        <w:rPr>
          <w:vertAlign w:val="superscript"/>
        </w:rPr>
        <w:footnoteReference w:id="6"/>
      </w:r>
    </w:p>
    <w:p w14:paraId="7F9E313D" w14:textId="794463A1" w:rsidR="00686229" w:rsidRPr="00F8177B" w:rsidRDefault="00686229" w:rsidP="000F2F1A">
      <w:r w:rsidRPr="00F8177B">
        <w:t xml:space="preserve">Effective stewardship, with an explicit focus on delivering </w:t>
      </w:r>
      <w:r w:rsidR="007E27F1" w:rsidRPr="00F8177B">
        <w:t xml:space="preserve">better </w:t>
      </w:r>
      <w:r w:rsidRPr="00F8177B">
        <w:t>sustainability outcomes, delivers real benefits for investors and for society as a whole. By pursuing sustainability outcome</w:t>
      </w:r>
      <w:r w:rsidR="007E27F1" w:rsidRPr="00F8177B">
        <w:t xml:space="preserve"> objectives</w:t>
      </w:r>
      <w:r w:rsidRPr="00F8177B">
        <w:t xml:space="preserve"> through stewardship, investors can mitigate system-level risks (such as climate change, biodiversity loss and inequitable social structures) to improve the long-term performance of economies and their investment portfolios, as well as improve social and environmental outcomes in line with their beneficiaries’ objectives</w:t>
      </w:r>
      <w:r w:rsidR="000A57E8" w:rsidRPr="00F8177B">
        <w:t>.</w:t>
      </w:r>
      <w:r w:rsidRPr="00F8177B">
        <w:rPr>
          <w:vertAlign w:val="superscript"/>
        </w:rPr>
        <w:footnoteReference w:id="7"/>
      </w:r>
      <w:r w:rsidRPr="00F8177B">
        <w:t xml:space="preserve"> </w:t>
      </w:r>
    </w:p>
    <w:p w14:paraId="54CDFE83" w14:textId="77777777" w:rsidR="00ED7089" w:rsidRPr="00F8177B" w:rsidRDefault="00ED7089" w:rsidP="000F2F1A">
      <w:r w:rsidRPr="00F8177B">
        <w:t>The term stewardship encompasses a multitude of activities. Investors – depending on the asset class, geography and investment strategy – can exercise their stewardship obligations by:</w:t>
      </w:r>
    </w:p>
    <w:p w14:paraId="7DA9C625" w14:textId="6BA6D7DD" w:rsidR="00ED7089" w:rsidRPr="00F8177B" w:rsidRDefault="004B65C2" w:rsidP="007D644C">
      <w:pPr>
        <w:pStyle w:val="ListBullet"/>
        <w:spacing w:line="288" w:lineRule="auto"/>
      </w:pPr>
      <w:r w:rsidRPr="00F8177B">
        <w:t>e</w:t>
      </w:r>
      <w:r w:rsidR="00ED7089" w:rsidRPr="00F8177B">
        <w:t>ngaging with issuers (whether current or potential investees)</w:t>
      </w:r>
    </w:p>
    <w:p w14:paraId="7523827B" w14:textId="6D0319B1" w:rsidR="00ED7089" w:rsidRPr="00F8177B" w:rsidRDefault="004B65C2" w:rsidP="007D644C">
      <w:pPr>
        <w:pStyle w:val="ListBullet"/>
        <w:spacing w:line="288" w:lineRule="auto"/>
      </w:pPr>
      <w:r w:rsidRPr="00F8177B">
        <w:t>v</w:t>
      </w:r>
      <w:r w:rsidR="00ED7089" w:rsidRPr="00F8177B">
        <w:t>oting at shareholder meetings or equivalent meetings of other asset classes</w:t>
      </w:r>
    </w:p>
    <w:p w14:paraId="6E51B16D" w14:textId="5CAB47F9" w:rsidR="00ED7089" w:rsidRPr="00F8177B" w:rsidRDefault="004B65C2" w:rsidP="007D644C">
      <w:pPr>
        <w:pStyle w:val="ListBullet"/>
        <w:spacing w:line="288" w:lineRule="auto"/>
      </w:pPr>
      <w:r w:rsidRPr="00F8177B">
        <w:t>f</w:t>
      </w:r>
      <w:r w:rsidR="00ED7089" w:rsidRPr="00F8177B">
        <w:t>iling or co-filing shareholder resolutions or proposals</w:t>
      </w:r>
    </w:p>
    <w:p w14:paraId="4F108F78" w14:textId="1FE2FA38" w:rsidR="00ED7089" w:rsidRPr="00F8177B" w:rsidRDefault="004B65C2" w:rsidP="007D644C">
      <w:pPr>
        <w:pStyle w:val="ListBullet"/>
        <w:spacing w:line="288" w:lineRule="auto"/>
      </w:pPr>
      <w:r w:rsidRPr="00F8177B">
        <w:t>h</w:t>
      </w:r>
      <w:r w:rsidR="00ED7089" w:rsidRPr="00F8177B">
        <w:t>olding positions on investee boards and board committees</w:t>
      </w:r>
    </w:p>
    <w:p w14:paraId="495CC596" w14:textId="00A6F4CF" w:rsidR="00ED7089" w:rsidRPr="00F8177B" w:rsidRDefault="004B65C2" w:rsidP="007D644C">
      <w:pPr>
        <w:pStyle w:val="ListBullet"/>
        <w:spacing w:line="288" w:lineRule="auto"/>
      </w:pPr>
      <w:r w:rsidRPr="00F8177B">
        <w:t>l</w:t>
      </w:r>
      <w:r w:rsidR="00ED7089" w:rsidRPr="00F8177B">
        <w:t>itigating or seeking legal recourse, where necessary.</w:t>
      </w:r>
    </w:p>
    <w:p w14:paraId="0714E0EA" w14:textId="46D11D4C" w:rsidR="00ED7089" w:rsidRPr="00F8177B" w:rsidRDefault="17FE73AC" w:rsidP="000F2F1A">
      <w:r w:rsidRPr="00F8177B">
        <w:t>Stewardship can also be implemented by investors through active engagement with policy makers and other non-issuer stakeholders. This can be achieved by, for example:</w:t>
      </w:r>
    </w:p>
    <w:p w14:paraId="4705272E" w14:textId="28F83E33" w:rsidR="00ED7089" w:rsidRPr="00F8177B" w:rsidRDefault="004B65C2" w:rsidP="007D644C">
      <w:pPr>
        <w:pStyle w:val="ListBullet"/>
        <w:spacing w:line="288" w:lineRule="auto"/>
      </w:pPr>
      <w:r w:rsidRPr="00F8177B">
        <w:t>e</w:t>
      </w:r>
      <w:r w:rsidR="00ED7089" w:rsidRPr="00F8177B">
        <w:t>ngaging with policy makers</w:t>
      </w:r>
    </w:p>
    <w:p w14:paraId="2BBCF611" w14:textId="2A2C92A8" w:rsidR="00ED7089" w:rsidRPr="00F8177B" w:rsidRDefault="004B65C2" w:rsidP="007D644C">
      <w:pPr>
        <w:pStyle w:val="ListBullet"/>
        <w:spacing w:line="288" w:lineRule="auto"/>
      </w:pPr>
      <w:r w:rsidRPr="00F8177B">
        <w:t>e</w:t>
      </w:r>
      <w:r w:rsidR="00ED7089" w:rsidRPr="00F8177B">
        <w:t>ngaging with standard setters</w:t>
      </w:r>
    </w:p>
    <w:p w14:paraId="0B38A24D" w14:textId="0CFEEB77" w:rsidR="00ED7089" w:rsidRPr="00F8177B" w:rsidRDefault="004B65C2" w:rsidP="007D644C">
      <w:pPr>
        <w:pStyle w:val="ListBullet"/>
        <w:spacing w:line="288" w:lineRule="auto"/>
      </w:pPr>
      <w:r w:rsidRPr="00F8177B">
        <w:t>c</w:t>
      </w:r>
      <w:r w:rsidR="00ED7089" w:rsidRPr="00F8177B">
        <w:t>ontributing to public goods (</w:t>
      </w:r>
      <w:r w:rsidRPr="00F8177B">
        <w:t>e.g.,</w:t>
      </w:r>
      <w:r w:rsidR="00ED7089" w:rsidRPr="00F8177B">
        <w:t xml:space="preserve"> research) and public discourse (such as media) that support stewardship goals.</w:t>
      </w:r>
    </w:p>
    <w:p w14:paraId="6F969F65" w14:textId="2CFF8881" w:rsidR="00404C15" w:rsidRPr="00F8177B" w:rsidRDefault="003E0A57" w:rsidP="000F2F1A">
      <w:pPr>
        <w:pStyle w:val="Heading3"/>
      </w:pPr>
      <w:bookmarkStart w:id="13" w:name="_Toc172287036"/>
      <w:r w:rsidRPr="00F8177B">
        <w:t>Col</w:t>
      </w:r>
      <w:r w:rsidR="008E1EF5" w:rsidRPr="00F8177B">
        <w:t>laborat</w:t>
      </w:r>
      <w:r w:rsidR="399130ED" w:rsidRPr="00F8177B">
        <w:t>ion</w:t>
      </w:r>
      <w:r w:rsidR="00404C15" w:rsidRPr="00F8177B">
        <w:t>, a key element of effective stewardship</w:t>
      </w:r>
      <w:bookmarkEnd w:id="13"/>
      <w:r w:rsidR="00404C15" w:rsidRPr="00F8177B">
        <w:t xml:space="preserve"> </w:t>
      </w:r>
    </w:p>
    <w:p w14:paraId="285BB7E2" w14:textId="7DD32BD5" w:rsidR="007F76E6" w:rsidRPr="00F8177B" w:rsidRDefault="724EFD42" w:rsidP="000F2F1A">
      <w:r w:rsidRPr="00F8177B">
        <w:t>C</w:t>
      </w:r>
      <w:r w:rsidR="17FE73AC" w:rsidRPr="00F8177B">
        <w:t>ollaborative efforts between investors can take many forms, with variations on aspects such as:</w:t>
      </w:r>
    </w:p>
    <w:p w14:paraId="25621A7D" w14:textId="109A4D9E" w:rsidR="007F76E6" w:rsidRPr="00F8177B" w:rsidRDefault="004B65C2" w:rsidP="007D644C">
      <w:pPr>
        <w:pStyle w:val="ListBullet"/>
        <w:spacing w:line="288" w:lineRule="auto"/>
      </w:pPr>
      <w:r w:rsidRPr="00F8177B">
        <w:t>s</w:t>
      </w:r>
      <w:r w:rsidR="724EFD42" w:rsidRPr="00F8177B">
        <w:t>ize (number of investors involved or number or engaged stakeholders)</w:t>
      </w:r>
    </w:p>
    <w:p w14:paraId="18384870" w14:textId="63EDFC41" w:rsidR="007F76E6" w:rsidRPr="00F8177B" w:rsidRDefault="004B65C2" w:rsidP="007D644C">
      <w:pPr>
        <w:pStyle w:val="ListBullet"/>
        <w:spacing w:line="288" w:lineRule="auto"/>
      </w:pPr>
      <w:r w:rsidRPr="00F8177B">
        <w:t>s</w:t>
      </w:r>
      <w:r w:rsidR="2658349B" w:rsidRPr="00F8177B">
        <w:t>tructure and governance (simple or complex</w:t>
      </w:r>
      <w:r w:rsidR="64FD19CC" w:rsidRPr="00F8177B">
        <w:t xml:space="preserve"> and formal or informal</w:t>
      </w:r>
      <w:r w:rsidR="2658349B" w:rsidRPr="00F8177B">
        <w:t xml:space="preserve"> governance structures</w:t>
      </w:r>
      <w:r w:rsidR="5EACF656" w:rsidRPr="00F8177B">
        <w:t xml:space="preserve"> such as</w:t>
      </w:r>
      <w:r w:rsidR="2658349B" w:rsidRPr="00F8177B">
        <w:t xml:space="preserve"> </w:t>
      </w:r>
      <w:r w:rsidR="05AAA734" w:rsidRPr="00F8177B">
        <w:t>presence or absence of a separate secretariat)</w:t>
      </w:r>
    </w:p>
    <w:p w14:paraId="7D143D92" w14:textId="3BF333A3" w:rsidR="007F76E6" w:rsidRPr="00F8177B" w:rsidRDefault="004B65C2" w:rsidP="007D644C">
      <w:pPr>
        <w:pStyle w:val="ListBullet"/>
        <w:spacing w:line="288" w:lineRule="auto"/>
      </w:pPr>
      <w:r w:rsidRPr="00F8177B">
        <w:t>o</w:t>
      </w:r>
      <w:r w:rsidR="3424C5B3" w:rsidRPr="00F8177B">
        <w:t>pen or closed collaboration (</w:t>
      </w:r>
      <w:r w:rsidR="00B4572D" w:rsidRPr="00F8177B">
        <w:t>limited or unlimited number of participants)</w:t>
      </w:r>
    </w:p>
    <w:p w14:paraId="01A4791B" w14:textId="1CDB95C3" w:rsidR="007F76E6" w:rsidRPr="00F8177B" w:rsidRDefault="004B65C2" w:rsidP="007D644C">
      <w:pPr>
        <w:pStyle w:val="ListBullet"/>
        <w:spacing w:line="288" w:lineRule="auto"/>
      </w:pPr>
      <w:r w:rsidRPr="00F8177B">
        <w:t>s</w:t>
      </w:r>
      <w:r w:rsidR="33A09391" w:rsidRPr="00F8177B">
        <w:t>c</w:t>
      </w:r>
      <w:r w:rsidR="090BFA46" w:rsidRPr="00F8177B">
        <w:t xml:space="preserve">ope of </w:t>
      </w:r>
      <w:r w:rsidR="346F4275" w:rsidRPr="00F8177B">
        <w:t xml:space="preserve">collaboration </w:t>
      </w:r>
      <w:r w:rsidR="5121F253" w:rsidRPr="00F8177B">
        <w:t>(from issuer performance to wider sustainability risks and outcomes)</w:t>
      </w:r>
    </w:p>
    <w:p w14:paraId="1750E76E" w14:textId="782C2B90" w:rsidR="007F76E6" w:rsidRPr="00F8177B" w:rsidRDefault="004B65C2" w:rsidP="007D644C">
      <w:pPr>
        <w:pStyle w:val="ListBullet"/>
        <w:spacing w:line="288" w:lineRule="auto"/>
      </w:pPr>
      <w:r w:rsidRPr="00F8177B">
        <w:t>b</w:t>
      </w:r>
      <w:r w:rsidR="724EFD42" w:rsidRPr="00F8177B">
        <w:t>readth</w:t>
      </w:r>
      <w:r w:rsidR="54D2531A" w:rsidRPr="00F8177B">
        <w:t xml:space="preserve"> </w:t>
      </w:r>
      <w:r w:rsidR="0EC2BD3A" w:rsidRPr="00F8177B">
        <w:t>(</w:t>
      </w:r>
      <w:r w:rsidR="724EFD42" w:rsidRPr="00F8177B">
        <w:t xml:space="preserve">single sector v multi-sector; single-issue v multi-issue; issuers only or </w:t>
      </w:r>
      <w:r w:rsidR="2B117E32" w:rsidRPr="00F8177B">
        <w:t>engaging a broader set of stakeholders)</w:t>
      </w:r>
    </w:p>
    <w:p w14:paraId="6B961E6D" w14:textId="518E109C" w:rsidR="007F76E6" w:rsidRPr="00F8177B" w:rsidRDefault="004B65C2" w:rsidP="007D644C">
      <w:pPr>
        <w:pStyle w:val="ListBullet"/>
        <w:spacing w:line="288" w:lineRule="auto"/>
      </w:pPr>
      <w:r w:rsidRPr="00F8177B">
        <w:t>d</w:t>
      </w:r>
      <w:r w:rsidR="2B117E32" w:rsidRPr="00F8177B">
        <w:t xml:space="preserve">epth of </w:t>
      </w:r>
      <w:r w:rsidR="724E83BF" w:rsidRPr="00F8177B">
        <w:t xml:space="preserve">objectives </w:t>
      </w:r>
      <w:r w:rsidR="2B117E32" w:rsidRPr="00F8177B">
        <w:t>(focus on disclosure</w:t>
      </w:r>
      <w:r w:rsidR="42A23F98" w:rsidRPr="00F8177B">
        <w:t>s, commitments, and/or</w:t>
      </w:r>
      <w:r w:rsidR="2F25F2E7" w:rsidRPr="00F8177B">
        <w:t xml:space="preserve"> action)</w:t>
      </w:r>
    </w:p>
    <w:p w14:paraId="4B2EA5DF" w14:textId="359B8E98" w:rsidR="007F76E6" w:rsidRPr="00F8177B" w:rsidRDefault="004B65C2" w:rsidP="007D644C">
      <w:pPr>
        <w:pStyle w:val="ListBullet"/>
        <w:spacing w:line="288" w:lineRule="auto"/>
        <w:rPr>
          <w:color w:val="000000" w:themeColor="text1"/>
        </w:rPr>
      </w:pPr>
      <w:r w:rsidRPr="00F8177B">
        <w:t>l</w:t>
      </w:r>
      <w:r w:rsidR="474125C7" w:rsidRPr="00F8177B">
        <w:t>ength of collaboration</w:t>
      </w:r>
    </w:p>
    <w:p w14:paraId="1EAF8F4D" w14:textId="4F38C485" w:rsidR="007F76E6" w:rsidRPr="00F8177B" w:rsidRDefault="004B65C2" w:rsidP="007D644C">
      <w:pPr>
        <w:pStyle w:val="ListBullet"/>
        <w:spacing w:line="288" w:lineRule="auto"/>
      </w:pPr>
      <w:r w:rsidRPr="00F8177B">
        <w:t>r</w:t>
      </w:r>
      <w:r w:rsidR="554C1167" w:rsidRPr="00F8177B">
        <w:t>ange of activities</w:t>
      </w:r>
      <w:r w:rsidRPr="00F8177B">
        <w:rPr>
          <w:rFonts w:ascii="Segoe UI" w:eastAsiaTheme="minorEastAsia" w:hAnsi="Segoe UI" w:cs="Segoe UI"/>
          <w:color w:val="000000" w:themeColor="text1"/>
          <w:sz w:val="18"/>
          <w:szCs w:val="18"/>
        </w:rPr>
        <w:t xml:space="preserve"> </w:t>
      </w:r>
      <w:r w:rsidRPr="00F8177B">
        <w:t>(f</w:t>
      </w:r>
      <w:r w:rsidR="00E76454" w:rsidRPr="00F8177B">
        <w:t xml:space="preserve">rom multi-year sectoral engagement initiatives to one-off sign-on letters, the range of stewardship activities available to an investor depends on the level of structure, duration </w:t>
      </w:r>
      <w:r w:rsidR="00E76454" w:rsidRPr="00F8177B">
        <w:lastRenderedPageBreak/>
        <w:t>and scope of the collaboration effort. Individual investors ultimately exercise discretion over which activities they participate in</w:t>
      </w:r>
      <w:r w:rsidRPr="00F8177B">
        <w:t>).</w:t>
      </w:r>
    </w:p>
    <w:p w14:paraId="0B7BA8C3" w14:textId="72F53EC4" w:rsidR="007F76E6" w:rsidRPr="00F8177B" w:rsidRDefault="004B65C2" w:rsidP="00F92AF6">
      <w:pPr>
        <w:pStyle w:val="ListBullet"/>
        <w:numPr>
          <w:ilvl w:val="0"/>
          <w:numId w:val="0"/>
        </w:numPr>
        <w:spacing w:line="288" w:lineRule="auto"/>
      </w:pPr>
      <w:r w:rsidRPr="00F8177B">
        <w:t>In the context of stewardship, c</w:t>
      </w:r>
      <w:r w:rsidR="17FE73AC" w:rsidRPr="00F8177B">
        <w:t>ollaboration refers to investors or their service providers working together and/ or with other stakeholders to pool resources and enhance their effectiveness in pursuing stewardship objectives. It must comply with all applicable laws and regulations, and must not include the exchange of non-public, competitively</w:t>
      </w:r>
      <w:r w:rsidR="00955FBE" w:rsidRPr="00F8177B">
        <w:t>,</w:t>
      </w:r>
      <w:r w:rsidR="17FE73AC" w:rsidRPr="00F8177B">
        <w:t xml:space="preserve"> or commercially sensitive information. Collaboration can include informal means, such as sharing insights on how to approach an issue with peers, as well as formal mechanisms such as collaborative engagements or initiatives, or the use of an external service provider (e.g., engagement overlay service) that pools resources from multiple investors</w:t>
      </w:r>
      <w:r w:rsidR="00F8177B" w:rsidRPr="00F8177B">
        <w:t xml:space="preserve">. </w:t>
      </w:r>
    </w:p>
    <w:p w14:paraId="4E3E883B" w14:textId="7EBAD9BC" w:rsidR="00F9723A" w:rsidRPr="00F8177B" w:rsidRDefault="00DE7CD2" w:rsidP="000F2F1A">
      <w:bookmarkStart w:id="14" w:name="_Toc99441706"/>
      <w:r w:rsidRPr="00F8177B">
        <w:rPr>
          <w:noProof/>
        </w:rPr>
        <mc:AlternateContent>
          <mc:Choice Requires="wps">
            <w:drawing>
              <wp:anchor distT="0" distB="0" distL="114300" distR="114300" simplePos="0" relativeHeight="251658241" behindDoc="1" locked="0" layoutInCell="1" allowOverlap="1" wp14:anchorId="193B2CA2" wp14:editId="5D9E74EA">
                <wp:simplePos x="0" y="0"/>
                <wp:positionH relativeFrom="margin">
                  <wp:align>left</wp:align>
                </wp:positionH>
                <wp:positionV relativeFrom="paragraph">
                  <wp:posOffset>728345</wp:posOffset>
                </wp:positionV>
                <wp:extent cx="5686425" cy="5295900"/>
                <wp:effectExtent l="0" t="0" r="28575" b="19050"/>
                <wp:wrapTight wrapText="bothSides">
                  <wp:wrapPolygon edited="0">
                    <wp:start x="0" y="0"/>
                    <wp:lineTo x="0" y="21600"/>
                    <wp:lineTo x="21636" y="21600"/>
                    <wp:lineTo x="21636"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5686425" cy="5295900"/>
                        </a:xfrm>
                        <a:prstGeom prst="rect">
                          <a:avLst/>
                        </a:prstGeom>
                        <a:solidFill>
                          <a:srgbClr val="5B9BD5">
                            <a:lumMod val="20000"/>
                            <a:lumOff val="80000"/>
                          </a:srgbClr>
                        </a:solidFill>
                        <a:ln w="6350">
                          <a:solidFill>
                            <a:srgbClr val="5B9BD5"/>
                          </a:solidFill>
                        </a:ln>
                      </wps:spPr>
                      <wps:txbx>
                        <w:txbxContent>
                          <w:p w14:paraId="7AA05D30" w14:textId="33F16975" w:rsidR="00606553" w:rsidRPr="00871018" w:rsidRDefault="00606553" w:rsidP="000F2F1A">
                            <w:pPr>
                              <w:rPr>
                                <w:sz w:val="18"/>
                                <w:szCs w:val="18"/>
                              </w:rPr>
                            </w:pPr>
                            <w:r w:rsidRPr="00871018">
                              <w:rPr>
                                <w:sz w:val="18"/>
                                <w:szCs w:val="18"/>
                              </w:rPr>
                              <w:t xml:space="preserve">Box 1: </w:t>
                            </w:r>
                            <w:r w:rsidR="00CD4934" w:rsidRPr="00871018">
                              <w:rPr>
                                <w:b/>
                                <w:bCs/>
                                <w:sz w:val="18"/>
                                <w:szCs w:val="18"/>
                              </w:rPr>
                              <w:t>PRI’s Active Ownership 2.0</w:t>
                            </w:r>
                            <w:r w:rsidR="00CD4934" w:rsidRPr="00871018">
                              <w:rPr>
                                <w:sz w:val="18"/>
                                <w:szCs w:val="18"/>
                              </w:rPr>
                              <w:t xml:space="preserve"> </w:t>
                            </w:r>
                          </w:p>
                          <w:p w14:paraId="26983968" w14:textId="6F2149A4" w:rsidR="00BC1C4F" w:rsidRPr="00871018" w:rsidRDefault="00BC1C4F" w:rsidP="000F2F1A">
                            <w:pPr>
                              <w:rPr>
                                <w:sz w:val="18"/>
                                <w:szCs w:val="18"/>
                              </w:rPr>
                            </w:pPr>
                            <w:r w:rsidRPr="00871018">
                              <w:rPr>
                                <w:sz w:val="18"/>
                                <w:szCs w:val="18"/>
                              </w:rPr>
                              <w:t xml:space="preserve">The PRI’s </w:t>
                            </w:r>
                            <w:hyperlink r:id="rId12">
                              <w:r w:rsidRPr="00871018">
                                <w:rPr>
                                  <w:rStyle w:val="Hyperlink"/>
                                  <w:sz w:val="18"/>
                                  <w:szCs w:val="18"/>
                                </w:rPr>
                                <w:t>Active Ownership 2.0</w:t>
                              </w:r>
                            </w:hyperlink>
                            <w:r w:rsidRPr="00871018">
                              <w:rPr>
                                <w:sz w:val="18"/>
                                <w:szCs w:val="18"/>
                              </w:rPr>
                              <w:t xml:space="preserve"> programme support</w:t>
                            </w:r>
                            <w:r w:rsidR="002A129E">
                              <w:rPr>
                                <w:sz w:val="18"/>
                                <w:szCs w:val="18"/>
                              </w:rPr>
                              <w:t>s</w:t>
                            </w:r>
                            <w:r w:rsidRPr="00871018">
                              <w:rPr>
                                <w:sz w:val="18"/>
                                <w:szCs w:val="18"/>
                              </w:rPr>
                              <w:t xml:space="preserve"> </w:t>
                            </w:r>
                            <w:r w:rsidR="002E7287" w:rsidRPr="00871018">
                              <w:rPr>
                                <w:sz w:val="18"/>
                                <w:szCs w:val="18"/>
                              </w:rPr>
                              <w:t>evolving stewardship practices</w:t>
                            </w:r>
                            <w:r w:rsidR="002A129E">
                              <w:rPr>
                                <w:sz w:val="18"/>
                                <w:szCs w:val="18"/>
                              </w:rPr>
                              <w:t xml:space="preserve"> to</w:t>
                            </w:r>
                            <w:r w:rsidRPr="00871018">
                              <w:rPr>
                                <w:sz w:val="18"/>
                                <w:szCs w:val="18"/>
                              </w:rPr>
                              <w:t xml:space="preserve"> develop an aspirational standard for improved stewardship and </w:t>
                            </w:r>
                            <w:r w:rsidR="002A129E">
                              <w:rPr>
                                <w:sz w:val="18"/>
                                <w:szCs w:val="18"/>
                              </w:rPr>
                              <w:t>helps</w:t>
                            </w:r>
                            <w:r w:rsidR="002A129E" w:rsidRPr="00871018">
                              <w:rPr>
                                <w:sz w:val="18"/>
                                <w:szCs w:val="18"/>
                              </w:rPr>
                              <w:t xml:space="preserve"> </w:t>
                            </w:r>
                            <w:r w:rsidRPr="00871018">
                              <w:rPr>
                                <w:sz w:val="18"/>
                                <w:szCs w:val="18"/>
                              </w:rPr>
                              <w:t xml:space="preserve">investors to </w:t>
                            </w:r>
                            <w:r w:rsidR="002A129E" w:rsidRPr="00871018">
                              <w:rPr>
                                <w:sz w:val="18"/>
                                <w:szCs w:val="18"/>
                              </w:rPr>
                              <w:t xml:space="preserve">more effectively </w:t>
                            </w:r>
                            <w:r w:rsidRPr="00871018">
                              <w:rPr>
                                <w:sz w:val="18"/>
                                <w:szCs w:val="18"/>
                              </w:rPr>
                              <w:t xml:space="preserve">contribute to positive sustainability outcomes. It builds on existing practice and expertise but prioritises systemic goals and collective effort aimed at concrete outcomes. The three central elements </w:t>
                            </w:r>
                            <w:r w:rsidR="002A129E">
                              <w:rPr>
                                <w:sz w:val="18"/>
                                <w:szCs w:val="18"/>
                              </w:rPr>
                              <w:t>for</w:t>
                            </w:r>
                            <w:r w:rsidR="002A129E" w:rsidRPr="00871018">
                              <w:rPr>
                                <w:sz w:val="18"/>
                                <w:szCs w:val="18"/>
                              </w:rPr>
                              <w:t xml:space="preserve"> </w:t>
                            </w:r>
                            <w:r w:rsidRPr="00871018">
                              <w:rPr>
                                <w:sz w:val="18"/>
                                <w:szCs w:val="18"/>
                              </w:rPr>
                              <w:t>an effective stewardship approach adopting Active Ownership 2.0 are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587"/>
                            </w:tblGrid>
                            <w:tr w:rsidR="00871018" w:rsidRPr="00871018" w14:paraId="235B5BD8" w14:textId="77777777" w:rsidTr="003E0742">
                              <w:trPr>
                                <w:trHeight w:val="1832"/>
                              </w:trPr>
                              <w:tc>
                                <w:tcPr>
                                  <w:tcW w:w="2070" w:type="dxa"/>
                                  <w:vAlign w:val="center"/>
                                </w:tcPr>
                                <w:p w14:paraId="38DF0DEB" w14:textId="31A10F97" w:rsidR="00871018" w:rsidRPr="00871018" w:rsidRDefault="00871018" w:rsidP="00871018">
                                  <w:pPr>
                                    <w:rPr>
                                      <w:sz w:val="18"/>
                                      <w:szCs w:val="18"/>
                                    </w:rPr>
                                  </w:pPr>
                                  <w:r w:rsidRPr="00871018">
                                    <w:rPr>
                                      <w:noProof/>
                                      <w:sz w:val="18"/>
                                      <w:szCs w:val="18"/>
                                    </w:rPr>
                                    <w:drawing>
                                      <wp:inline distT="0" distB="0" distL="0" distR="0" wp14:anchorId="0ADFEDC6" wp14:editId="31751577">
                                        <wp:extent cx="1016000" cy="881478"/>
                                        <wp:effectExtent l="0" t="0" r="0" b="0"/>
                                        <wp:docPr id="1647259116" name="Picture 1647259116" descr="A flag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60804" name="Picture 1321660804" descr="A flag on a po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032061" cy="895413"/>
                                                </a:xfrm>
                                                <a:prstGeom prst="rect">
                                                  <a:avLst/>
                                                </a:prstGeom>
                                              </pic:spPr>
                                            </pic:pic>
                                          </a:graphicData>
                                        </a:graphic>
                                      </wp:inline>
                                    </w:drawing>
                                  </w:r>
                                </w:p>
                              </w:tc>
                              <w:tc>
                                <w:tcPr>
                                  <w:tcW w:w="6587" w:type="dxa"/>
                                </w:tcPr>
                                <w:p w14:paraId="50AB1B9F" w14:textId="77777777" w:rsidR="00871018" w:rsidRDefault="00871018" w:rsidP="00871018">
                                  <w:pPr>
                                    <w:rPr>
                                      <w:sz w:val="18"/>
                                      <w:szCs w:val="18"/>
                                    </w:rPr>
                                  </w:pPr>
                                  <w:r w:rsidRPr="00871018">
                                    <w:rPr>
                                      <w:sz w:val="18"/>
                                      <w:szCs w:val="18"/>
                                    </w:rPr>
                                    <w:t>OUTCOMES, NOT INPUTS OR PROCESSES</w:t>
                                  </w:r>
                                </w:p>
                                <w:p w14:paraId="6025C09E" w14:textId="253ED655" w:rsidR="00871018" w:rsidRPr="00871018" w:rsidRDefault="00871018" w:rsidP="00871018">
                                  <w:pPr>
                                    <w:rPr>
                                      <w:sz w:val="18"/>
                                      <w:szCs w:val="18"/>
                                    </w:rPr>
                                  </w:pPr>
                                  <w:r w:rsidRPr="00871018">
                                    <w:rPr>
                                      <w:sz w:val="18"/>
                                      <w:szCs w:val="18"/>
                                    </w:rPr>
                                    <w:t>Active ownership 2.0 prioritises the pursuit and achievement of positive real-world goals. While resources, activity metrics</w:t>
                                  </w:r>
                                  <w:r w:rsidR="002A129E">
                                    <w:rPr>
                                      <w:sz w:val="18"/>
                                      <w:szCs w:val="18"/>
                                    </w:rPr>
                                    <w:t>,</w:t>
                                  </w:r>
                                  <w:r w:rsidRPr="00871018">
                                    <w:rPr>
                                      <w:sz w:val="18"/>
                                      <w:szCs w:val="18"/>
                                    </w:rPr>
                                    <w:t xml:space="preserve"> and intermediate goals are among the levers available to investors, these are neither sufficient nor universally relevant in the delivery of outcomes.</w:t>
                                  </w:r>
                                </w:p>
                              </w:tc>
                            </w:tr>
                            <w:tr w:rsidR="00871018" w:rsidRPr="00871018" w14:paraId="5E0DD3FB" w14:textId="77777777" w:rsidTr="003E0742">
                              <w:trPr>
                                <w:trHeight w:val="2112"/>
                              </w:trPr>
                              <w:tc>
                                <w:tcPr>
                                  <w:tcW w:w="2070" w:type="dxa"/>
                                  <w:vAlign w:val="center"/>
                                </w:tcPr>
                                <w:p w14:paraId="146A73FA" w14:textId="4BA7B4EE" w:rsidR="00871018" w:rsidRPr="00871018" w:rsidRDefault="00871018" w:rsidP="00871018">
                                  <w:pPr>
                                    <w:rPr>
                                      <w:sz w:val="18"/>
                                      <w:szCs w:val="18"/>
                                    </w:rPr>
                                  </w:pPr>
                                  <w:r w:rsidRPr="00871018">
                                    <w:rPr>
                                      <w:noProof/>
                                      <w:sz w:val="18"/>
                                      <w:szCs w:val="18"/>
                                    </w:rPr>
                                    <w:drawing>
                                      <wp:inline distT="0" distB="0" distL="0" distR="0" wp14:anchorId="7BD4E2D4" wp14:editId="1AAA1799">
                                        <wp:extent cx="1009650" cy="875701"/>
                                        <wp:effectExtent l="0" t="0" r="0" b="635"/>
                                        <wp:docPr id="1831417004" name="Picture 1831417004" descr="A colorful target with arrows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85837" name="Picture 1269285837" descr="A colorful target with arrows in center&#10;&#10;Description automatically generated"/>
                                                <pic:cNvPicPr/>
                                              </pic:nvPicPr>
                                              <pic:blipFill rotWithShape="1">
                                                <a:blip r:embed="rId14">
                                                  <a:extLst>
                                                    <a:ext uri="{28A0092B-C50C-407E-A947-70E740481C1C}">
                                                      <a14:useLocalDpi xmlns:a14="http://schemas.microsoft.com/office/drawing/2010/main" val="0"/>
                                                    </a:ext>
                                                  </a:extLst>
                                                </a:blip>
                                                <a:srcRect t="7939"/>
                                                <a:stretch/>
                                              </pic:blipFill>
                                              <pic:spPr bwMode="auto">
                                                <a:xfrm>
                                                  <a:off x="0" y="0"/>
                                                  <a:ext cx="1019271" cy="884045"/>
                                                </a:xfrm>
                                                <a:prstGeom prst="rect">
                                                  <a:avLst/>
                                                </a:prstGeom>
                                                <a:ln>
                                                  <a:noFill/>
                                                </a:ln>
                                                <a:extLst>
                                                  <a:ext uri="{53640926-AAD7-44D8-BBD7-CCE9431645EC}">
                                                    <a14:shadowObscured xmlns:a14="http://schemas.microsoft.com/office/drawing/2010/main"/>
                                                  </a:ext>
                                                </a:extLst>
                                              </pic:spPr>
                                            </pic:pic>
                                          </a:graphicData>
                                        </a:graphic>
                                      </wp:inline>
                                    </w:drawing>
                                  </w:r>
                                </w:p>
                              </w:tc>
                              <w:tc>
                                <w:tcPr>
                                  <w:tcW w:w="6587" w:type="dxa"/>
                                </w:tcPr>
                                <w:p w14:paraId="7C424E67" w14:textId="77777777" w:rsidR="00871018" w:rsidRDefault="00871018" w:rsidP="000F2F1A">
                                  <w:pPr>
                                    <w:rPr>
                                      <w:sz w:val="18"/>
                                      <w:szCs w:val="18"/>
                                    </w:rPr>
                                  </w:pPr>
                                  <w:r w:rsidRPr="00871018">
                                    <w:rPr>
                                      <w:sz w:val="18"/>
                                      <w:szCs w:val="18"/>
                                    </w:rPr>
                                    <w:t>COMMON GOALS</w:t>
                                  </w:r>
                                </w:p>
                                <w:p w14:paraId="52F00C1F" w14:textId="47540428" w:rsidR="00871018" w:rsidRPr="00871018" w:rsidRDefault="00871018" w:rsidP="000F2F1A">
                                  <w:pPr>
                                    <w:rPr>
                                      <w:sz w:val="18"/>
                                      <w:szCs w:val="18"/>
                                    </w:rPr>
                                  </w:pPr>
                                  <w:r w:rsidRPr="00871018">
                                    <w:rPr>
                                      <w:sz w:val="18"/>
                                      <w:szCs w:val="18"/>
                                    </w:rPr>
                                    <w:t xml:space="preserve">System-level risks require a deliberate focus on and prioritisation of outcomes at the economy- or society-wide scale. This means stewardship that is less focused on the risks and returns of individual holdings, and more on addressing system-level or ‘beta’ issues such as climate change and corruption. It means prioritising long-term, absolute returns for universal owners, including </w:t>
                                  </w:r>
                                  <w:r w:rsidR="002A129E">
                                    <w:rPr>
                                      <w:sz w:val="18"/>
                                      <w:szCs w:val="18"/>
                                    </w:rPr>
                                    <w:t xml:space="preserve">broader </w:t>
                                  </w:r>
                                  <w:r w:rsidRPr="00871018">
                                    <w:rPr>
                                      <w:sz w:val="18"/>
                                      <w:szCs w:val="18"/>
                                    </w:rPr>
                                    <w:t>real-term financial</w:t>
                                  </w:r>
                                  <w:r w:rsidRPr="00871018">
                                    <w:rPr>
                                      <w:rStyle w:val="FootnoteReference"/>
                                      <w:sz w:val="18"/>
                                      <w:szCs w:val="18"/>
                                    </w:rPr>
                                    <w:footnoteRef/>
                                  </w:r>
                                  <w:r w:rsidRPr="00871018">
                                    <w:rPr>
                                      <w:sz w:val="18"/>
                                      <w:szCs w:val="18"/>
                                    </w:rPr>
                                    <w:t xml:space="preserve"> and welfare outcomes for beneficiaries</w:t>
                                  </w:r>
                                  <w:r w:rsidR="002A129E">
                                    <w:rPr>
                                      <w:sz w:val="18"/>
                                      <w:szCs w:val="18"/>
                                    </w:rPr>
                                    <w:t>.</w:t>
                                  </w:r>
                                  <w:r w:rsidRPr="00871018">
                                    <w:rPr>
                                      <w:rStyle w:val="FootnoteReference"/>
                                      <w:sz w:val="18"/>
                                      <w:szCs w:val="18"/>
                                    </w:rPr>
                                    <w:footnoteRef/>
                                  </w:r>
                                </w:p>
                              </w:tc>
                            </w:tr>
                            <w:tr w:rsidR="00871018" w:rsidRPr="00871018" w14:paraId="6B47A900" w14:textId="77777777" w:rsidTr="003E0742">
                              <w:trPr>
                                <w:trHeight w:val="2398"/>
                              </w:trPr>
                              <w:tc>
                                <w:tcPr>
                                  <w:tcW w:w="2070" w:type="dxa"/>
                                  <w:vAlign w:val="center"/>
                                </w:tcPr>
                                <w:p w14:paraId="675BB8F1" w14:textId="7314596F" w:rsidR="00871018" w:rsidRPr="00871018" w:rsidRDefault="00871018" w:rsidP="00871018">
                                  <w:pPr>
                                    <w:rPr>
                                      <w:sz w:val="18"/>
                                      <w:szCs w:val="18"/>
                                    </w:rPr>
                                  </w:pPr>
                                  <w:r w:rsidRPr="00871018">
                                    <w:rPr>
                                      <w:noProof/>
                                      <w:sz w:val="18"/>
                                      <w:szCs w:val="18"/>
                                    </w:rPr>
                                    <w:drawing>
                                      <wp:inline distT="0" distB="0" distL="0" distR="0" wp14:anchorId="6EB7EC6F" wp14:editId="1A0E0379">
                                        <wp:extent cx="1022175" cy="901700"/>
                                        <wp:effectExtent l="0" t="0" r="6985" b="0"/>
                                        <wp:docPr id="749835402" name="Picture 749835402" descr="A close-up of hands hold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52243" name="Picture 1836552243" descr="A close-up of hands holding each oth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52035" cy="928041"/>
                                                </a:xfrm>
                                                <a:prstGeom prst="rect">
                                                  <a:avLst/>
                                                </a:prstGeom>
                                              </pic:spPr>
                                            </pic:pic>
                                          </a:graphicData>
                                        </a:graphic>
                                      </wp:inline>
                                    </w:drawing>
                                  </w:r>
                                </w:p>
                              </w:tc>
                              <w:tc>
                                <w:tcPr>
                                  <w:tcW w:w="6587" w:type="dxa"/>
                                </w:tcPr>
                                <w:p w14:paraId="79CE9733" w14:textId="77777777" w:rsidR="00871018" w:rsidRDefault="00871018" w:rsidP="000F2F1A">
                                  <w:pPr>
                                    <w:rPr>
                                      <w:sz w:val="18"/>
                                      <w:szCs w:val="18"/>
                                    </w:rPr>
                                  </w:pPr>
                                  <w:r w:rsidRPr="00871018">
                                    <w:rPr>
                                      <w:sz w:val="18"/>
                                      <w:szCs w:val="18"/>
                                    </w:rPr>
                                    <w:t>COLLABORATIVE ACTION</w:t>
                                  </w:r>
                                </w:p>
                                <w:p w14:paraId="44D2EFD5" w14:textId="0371B55D" w:rsidR="00871018" w:rsidRPr="00871018" w:rsidRDefault="00871018" w:rsidP="000F2F1A">
                                  <w:pPr>
                                    <w:rPr>
                                      <w:sz w:val="18"/>
                                      <w:szCs w:val="18"/>
                                    </w:rPr>
                                  </w:pPr>
                                  <w:r w:rsidRPr="00871018">
                                    <w:rPr>
                                      <w:sz w:val="18"/>
                                      <w:szCs w:val="18"/>
                                    </w:rPr>
                                    <w:t>Focusing on collective goals and the delivery of positive real-world outcomes is possible only through enhanced collaboration among investors, service providers and other broader stakeholders. Challenges inherent in addressing collective system-level risks</w:t>
                                  </w:r>
                                  <w:r w:rsidR="002A129E">
                                    <w:rPr>
                                      <w:sz w:val="18"/>
                                      <w:szCs w:val="18"/>
                                    </w:rPr>
                                    <w:t xml:space="preserve"> can</w:t>
                                  </w:r>
                                  <w:r w:rsidRPr="00871018">
                                    <w:rPr>
                                      <w:sz w:val="18"/>
                                      <w:szCs w:val="18"/>
                                    </w:rPr>
                                    <w:t xml:space="preserve"> weake</w:t>
                                  </w:r>
                                  <w:r w:rsidR="002A129E">
                                    <w:rPr>
                                      <w:sz w:val="18"/>
                                      <w:szCs w:val="18"/>
                                    </w:rPr>
                                    <w:t>n the</w:t>
                                  </w:r>
                                  <w:r w:rsidRPr="00871018">
                                    <w:rPr>
                                      <w:sz w:val="18"/>
                                      <w:szCs w:val="18"/>
                                    </w:rPr>
                                    <w:t xml:space="preserve"> pursuit of collective goals </w:t>
                                  </w:r>
                                  <w:r w:rsidR="002A129E">
                                    <w:rPr>
                                      <w:sz w:val="18"/>
                                      <w:szCs w:val="18"/>
                                    </w:rPr>
                                    <w:t>compared</w:t>
                                  </w:r>
                                  <w:r w:rsidR="002A129E" w:rsidRPr="00871018">
                                    <w:rPr>
                                      <w:sz w:val="18"/>
                                      <w:szCs w:val="18"/>
                                    </w:rPr>
                                    <w:t xml:space="preserve"> </w:t>
                                  </w:r>
                                  <w:r w:rsidRPr="00871018">
                                    <w:rPr>
                                      <w:sz w:val="18"/>
                                      <w:szCs w:val="18"/>
                                    </w:rPr>
                                    <w:t xml:space="preserve">to </w:t>
                                  </w:r>
                                  <w:r w:rsidR="002A129E">
                                    <w:rPr>
                                      <w:sz w:val="18"/>
                                      <w:szCs w:val="18"/>
                                    </w:rPr>
                                    <w:t>scenarios in which</w:t>
                                  </w:r>
                                  <w:r w:rsidRPr="00871018">
                                    <w:rPr>
                                      <w:sz w:val="18"/>
                                      <w:szCs w:val="18"/>
                                    </w:rPr>
                                    <w:t xml:space="preserve"> the distribution of costs and benefits is more equitable.</w:t>
                                  </w:r>
                                  <w:r w:rsidR="00746B7E">
                                    <w:rPr>
                                      <w:sz w:val="18"/>
                                      <w:szCs w:val="18"/>
                                    </w:rPr>
                                    <w:t xml:space="preserve"> One such challenge is</w:t>
                                  </w:r>
                                  <w:r w:rsidR="00746B7E" w:rsidRPr="00871018">
                                    <w:rPr>
                                      <w:sz w:val="18"/>
                                      <w:szCs w:val="18"/>
                                    </w:rPr>
                                    <w:t xml:space="preserve"> the free-rider problem</w:t>
                                  </w:r>
                                  <w:r w:rsidR="00746B7E">
                                    <w:rPr>
                                      <w:sz w:val="18"/>
                                      <w:szCs w:val="18"/>
                                    </w:rPr>
                                    <w:t xml:space="preserve">, in which </w:t>
                                  </w:r>
                                  <w:r w:rsidR="00746B7E" w:rsidRPr="00871018">
                                    <w:rPr>
                                      <w:sz w:val="18"/>
                                      <w:szCs w:val="18"/>
                                    </w:rPr>
                                    <w:t>some avoid the costs of addressing collective problems, while reaping the benefits</w:t>
                                  </w:r>
                                  <w:r w:rsidR="00746B7E">
                                    <w:rPr>
                                      <w:sz w:val="18"/>
                                      <w:szCs w:val="18"/>
                                    </w:rPr>
                                    <w:t>.</w:t>
                                  </w:r>
                                </w:p>
                              </w:tc>
                            </w:tr>
                          </w:tbl>
                          <w:p w14:paraId="7524073A" w14:textId="77777777" w:rsidR="00606553" w:rsidRPr="00871018" w:rsidRDefault="00606553" w:rsidP="000F2F1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B2CA2" id="_x0000_t202" coordsize="21600,21600" o:spt="202" path="m,l,21600r21600,l21600,xe">
                <v:stroke joinstyle="miter"/>
                <v:path gradientshapeok="t" o:connecttype="rect"/>
              </v:shapetype>
              <v:shape id="Text Box 10" o:spid="_x0000_s1027" type="#_x0000_t202" style="position:absolute;margin-left:0;margin-top:57.35pt;width:447.75pt;height:417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" fillcolor="#deebf7" strokecolor="#5b9bd5" strokeweight=".5pt">
                <v:textbox>
                  <w:txbxContent>
                    <w:p w14:paraId="7AA05D30" w14:textId="33F16975" w:rsidR="00606553" w:rsidRPr="00871018" w:rsidRDefault="00606553" w:rsidP="000F2F1A">
                      <w:pPr>
                        <w:rPr>
                          <w:sz w:val="18"/>
                          <w:szCs w:val="18"/>
                        </w:rPr>
                      </w:pPr>
                      <w:r w:rsidRPr="00871018">
                        <w:rPr>
                          <w:sz w:val="18"/>
                          <w:szCs w:val="18"/>
                        </w:rPr>
                        <w:t xml:space="preserve">Box 1: </w:t>
                      </w:r>
                      <w:r w:rsidR="00CD4934" w:rsidRPr="00871018">
                        <w:rPr>
                          <w:b/>
                          <w:bCs/>
                          <w:sz w:val="18"/>
                          <w:szCs w:val="18"/>
                        </w:rPr>
                        <w:t>PRI’s Active Ownership 2.0</w:t>
                      </w:r>
                      <w:r w:rsidR="00CD4934" w:rsidRPr="00871018">
                        <w:rPr>
                          <w:sz w:val="18"/>
                          <w:szCs w:val="18"/>
                        </w:rPr>
                        <w:t xml:space="preserve"> </w:t>
                      </w:r>
                    </w:p>
                    <w:p w14:paraId="26983968" w14:textId="6F2149A4" w:rsidR="00BC1C4F" w:rsidRPr="00871018" w:rsidRDefault="00BC1C4F" w:rsidP="000F2F1A">
                      <w:pPr>
                        <w:rPr>
                          <w:sz w:val="18"/>
                          <w:szCs w:val="18"/>
                        </w:rPr>
                      </w:pPr>
                      <w:r w:rsidRPr="00871018">
                        <w:rPr>
                          <w:sz w:val="18"/>
                          <w:szCs w:val="18"/>
                        </w:rPr>
                        <w:t xml:space="preserve">The PRI’s </w:t>
                      </w:r>
                      <w:hyperlink r:id="rId16">
                        <w:r w:rsidRPr="00871018">
                          <w:rPr>
                            <w:rStyle w:val="Hyperlink"/>
                            <w:sz w:val="18"/>
                            <w:szCs w:val="18"/>
                          </w:rPr>
                          <w:t>Active Ownership 2.0</w:t>
                        </w:r>
                      </w:hyperlink>
                      <w:r w:rsidRPr="00871018">
                        <w:rPr>
                          <w:sz w:val="18"/>
                          <w:szCs w:val="18"/>
                        </w:rPr>
                        <w:t xml:space="preserve"> programme support</w:t>
                      </w:r>
                      <w:r w:rsidR="002A129E">
                        <w:rPr>
                          <w:sz w:val="18"/>
                          <w:szCs w:val="18"/>
                        </w:rPr>
                        <w:t>s</w:t>
                      </w:r>
                      <w:r w:rsidRPr="00871018">
                        <w:rPr>
                          <w:sz w:val="18"/>
                          <w:szCs w:val="18"/>
                        </w:rPr>
                        <w:t xml:space="preserve"> </w:t>
                      </w:r>
                      <w:r w:rsidR="002E7287" w:rsidRPr="00871018">
                        <w:rPr>
                          <w:sz w:val="18"/>
                          <w:szCs w:val="18"/>
                        </w:rPr>
                        <w:t>evolving stewardship practices</w:t>
                      </w:r>
                      <w:r w:rsidR="002A129E">
                        <w:rPr>
                          <w:sz w:val="18"/>
                          <w:szCs w:val="18"/>
                        </w:rPr>
                        <w:t xml:space="preserve"> to</w:t>
                      </w:r>
                      <w:r w:rsidRPr="00871018">
                        <w:rPr>
                          <w:sz w:val="18"/>
                          <w:szCs w:val="18"/>
                        </w:rPr>
                        <w:t xml:space="preserve"> develop an aspirational standard for improved stewardship and </w:t>
                      </w:r>
                      <w:r w:rsidR="002A129E">
                        <w:rPr>
                          <w:sz w:val="18"/>
                          <w:szCs w:val="18"/>
                        </w:rPr>
                        <w:t>helps</w:t>
                      </w:r>
                      <w:r w:rsidR="002A129E" w:rsidRPr="00871018">
                        <w:rPr>
                          <w:sz w:val="18"/>
                          <w:szCs w:val="18"/>
                        </w:rPr>
                        <w:t xml:space="preserve"> </w:t>
                      </w:r>
                      <w:r w:rsidRPr="00871018">
                        <w:rPr>
                          <w:sz w:val="18"/>
                          <w:szCs w:val="18"/>
                        </w:rPr>
                        <w:t xml:space="preserve">investors to </w:t>
                      </w:r>
                      <w:r w:rsidR="002A129E" w:rsidRPr="00871018">
                        <w:rPr>
                          <w:sz w:val="18"/>
                          <w:szCs w:val="18"/>
                        </w:rPr>
                        <w:t xml:space="preserve">more effectively </w:t>
                      </w:r>
                      <w:r w:rsidRPr="00871018">
                        <w:rPr>
                          <w:sz w:val="18"/>
                          <w:szCs w:val="18"/>
                        </w:rPr>
                        <w:t xml:space="preserve">contribute to positive sustainability outcomes. It builds on existing practice and expertise but prioritises systemic goals and collective effort aimed at concrete outcomes. The three central elements </w:t>
                      </w:r>
                      <w:r w:rsidR="002A129E">
                        <w:rPr>
                          <w:sz w:val="18"/>
                          <w:szCs w:val="18"/>
                        </w:rPr>
                        <w:t>for</w:t>
                      </w:r>
                      <w:r w:rsidR="002A129E" w:rsidRPr="00871018">
                        <w:rPr>
                          <w:sz w:val="18"/>
                          <w:szCs w:val="18"/>
                        </w:rPr>
                        <w:t xml:space="preserve"> </w:t>
                      </w:r>
                      <w:r w:rsidRPr="00871018">
                        <w:rPr>
                          <w:sz w:val="18"/>
                          <w:szCs w:val="18"/>
                        </w:rPr>
                        <w:t>an effective stewardship approach adopting Active Ownership 2.0 are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587"/>
                      </w:tblGrid>
                      <w:tr w:rsidR="00871018" w:rsidRPr="00871018" w14:paraId="235B5BD8" w14:textId="77777777" w:rsidTr="003E0742">
                        <w:trPr>
                          <w:trHeight w:val="1832"/>
                        </w:trPr>
                        <w:tc>
                          <w:tcPr>
                            <w:tcW w:w="2070" w:type="dxa"/>
                            <w:vAlign w:val="center"/>
                          </w:tcPr>
                          <w:p w14:paraId="38DF0DEB" w14:textId="31A10F97" w:rsidR="00871018" w:rsidRPr="00871018" w:rsidRDefault="00871018" w:rsidP="00871018">
                            <w:pPr>
                              <w:rPr>
                                <w:sz w:val="18"/>
                                <w:szCs w:val="18"/>
                              </w:rPr>
                            </w:pPr>
                            <w:r w:rsidRPr="00871018">
                              <w:rPr>
                                <w:noProof/>
                                <w:sz w:val="18"/>
                                <w:szCs w:val="18"/>
                              </w:rPr>
                              <w:drawing>
                                <wp:inline distT="0" distB="0" distL="0" distR="0" wp14:anchorId="0ADFEDC6" wp14:editId="31751577">
                                  <wp:extent cx="1016000" cy="881478"/>
                                  <wp:effectExtent l="0" t="0" r="0" b="0"/>
                                  <wp:docPr id="1647259116" name="Picture 1647259116" descr="A flag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60804" name="Picture 1321660804" descr="A flag on a po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032061" cy="895413"/>
                                          </a:xfrm>
                                          <a:prstGeom prst="rect">
                                            <a:avLst/>
                                          </a:prstGeom>
                                        </pic:spPr>
                                      </pic:pic>
                                    </a:graphicData>
                                  </a:graphic>
                                </wp:inline>
                              </w:drawing>
                            </w:r>
                          </w:p>
                        </w:tc>
                        <w:tc>
                          <w:tcPr>
                            <w:tcW w:w="6587" w:type="dxa"/>
                          </w:tcPr>
                          <w:p w14:paraId="50AB1B9F" w14:textId="77777777" w:rsidR="00871018" w:rsidRDefault="00871018" w:rsidP="00871018">
                            <w:pPr>
                              <w:rPr>
                                <w:sz w:val="18"/>
                                <w:szCs w:val="18"/>
                              </w:rPr>
                            </w:pPr>
                            <w:r w:rsidRPr="00871018">
                              <w:rPr>
                                <w:sz w:val="18"/>
                                <w:szCs w:val="18"/>
                              </w:rPr>
                              <w:t>OUTCOMES, NOT INPUTS OR PROCESSES</w:t>
                            </w:r>
                          </w:p>
                          <w:p w14:paraId="6025C09E" w14:textId="253ED655" w:rsidR="00871018" w:rsidRPr="00871018" w:rsidRDefault="00871018" w:rsidP="00871018">
                            <w:pPr>
                              <w:rPr>
                                <w:sz w:val="18"/>
                                <w:szCs w:val="18"/>
                              </w:rPr>
                            </w:pPr>
                            <w:r w:rsidRPr="00871018">
                              <w:rPr>
                                <w:sz w:val="18"/>
                                <w:szCs w:val="18"/>
                              </w:rPr>
                              <w:t>Active ownership 2.0 prioritises the pursuit and achievement of positive real-world goals. While resources, activity metrics</w:t>
                            </w:r>
                            <w:r w:rsidR="002A129E">
                              <w:rPr>
                                <w:sz w:val="18"/>
                                <w:szCs w:val="18"/>
                              </w:rPr>
                              <w:t>,</w:t>
                            </w:r>
                            <w:r w:rsidRPr="00871018">
                              <w:rPr>
                                <w:sz w:val="18"/>
                                <w:szCs w:val="18"/>
                              </w:rPr>
                              <w:t xml:space="preserve"> and intermediate goals are among the levers available to investors, these are neither sufficient nor universally relevant in the delivery of outcomes.</w:t>
                            </w:r>
                          </w:p>
                        </w:tc>
                      </w:tr>
                      <w:tr w:rsidR="00871018" w:rsidRPr="00871018" w14:paraId="5E0DD3FB" w14:textId="77777777" w:rsidTr="003E0742">
                        <w:trPr>
                          <w:trHeight w:val="2112"/>
                        </w:trPr>
                        <w:tc>
                          <w:tcPr>
                            <w:tcW w:w="2070" w:type="dxa"/>
                            <w:vAlign w:val="center"/>
                          </w:tcPr>
                          <w:p w14:paraId="146A73FA" w14:textId="4BA7B4EE" w:rsidR="00871018" w:rsidRPr="00871018" w:rsidRDefault="00871018" w:rsidP="00871018">
                            <w:pPr>
                              <w:rPr>
                                <w:sz w:val="18"/>
                                <w:szCs w:val="18"/>
                              </w:rPr>
                            </w:pPr>
                            <w:r w:rsidRPr="00871018">
                              <w:rPr>
                                <w:noProof/>
                                <w:sz w:val="18"/>
                                <w:szCs w:val="18"/>
                              </w:rPr>
                              <w:drawing>
                                <wp:inline distT="0" distB="0" distL="0" distR="0" wp14:anchorId="7BD4E2D4" wp14:editId="1AAA1799">
                                  <wp:extent cx="1009650" cy="875701"/>
                                  <wp:effectExtent l="0" t="0" r="0" b="635"/>
                                  <wp:docPr id="1831417004" name="Picture 1831417004" descr="A colorful target with arrows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85837" name="Picture 1269285837" descr="A colorful target with arrows in center&#10;&#10;Description automatically generated"/>
                                          <pic:cNvPicPr/>
                                        </pic:nvPicPr>
                                        <pic:blipFill rotWithShape="1">
                                          <a:blip r:embed="rId14">
                                            <a:extLst>
                                              <a:ext uri="{28A0092B-C50C-407E-A947-70E740481C1C}">
                                                <a14:useLocalDpi xmlns:a14="http://schemas.microsoft.com/office/drawing/2010/main" val="0"/>
                                              </a:ext>
                                            </a:extLst>
                                          </a:blip>
                                          <a:srcRect t="7939"/>
                                          <a:stretch/>
                                        </pic:blipFill>
                                        <pic:spPr bwMode="auto">
                                          <a:xfrm>
                                            <a:off x="0" y="0"/>
                                            <a:ext cx="1019271" cy="884045"/>
                                          </a:xfrm>
                                          <a:prstGeom prst="rect">
                                            <a:avLst/>
                                          </a:prstGeom>
                                          <a:ln>
                                            <a:noFill/>
                                          </a:ln>
                                          <a:extLst>
                                            <a:ext uri="{53640926-AAD7-44D8-BBD7-CCE9431645EC}">
                                              <a14:shadowObscured xmlns:a14="http://schemas.microsoft.com/office/drawing/2010/main"/>
                                            </a:ext>
                                          </a:extLst>
                                        </pic:spPr>
                                      </pic:pic>
                                    </a:graphicData>
                                  </a:graphic>
                                </wp:inline>
                              </w:drawing>
                            </w:r>
                          </w:p>
                        </w:tc>
                        <w:tc>
                          <w:tcPr>
                            <w:tcW w:w="6587" w:type="dxa"/>
                          </w:tcPr>
                          <w:p w14:paraId="7C424E67" w14:textId="77777777" w:rsidR="00871018" w:rsidRDefault="00871018" w:rsidP="000F2F1A">
                            <w:pPr>
                              <w:rPr>
                                <w:sz w:val="18"/>
                                <w:szCs w:val="18"/>
                              </w:rPr>
                            </w:pPr>
                            <w:r w:rsidRPr="00871018">
                              <w:rPr>
                                <w:sz w:val="18"/>
                                <w:szCs w:val="18"/>
                              </w:rPr>
                              <w:t>COMMON GOALS</w:t>
                            </w:r>
                          </w:p>
                          <w:p w14:paraId="52F00C1F" w14:textId="47540428" w:rsidR="00871018" w:rsidRPr="00871018" w:rsidRDefault="00871018" w:rsidP="000F2F1A">
                            <w:pPr>
                              <w:rPr>
                                <w:sz w:val="18"/>
                                <w:szCs w:val="18"/>
                              </w:rPr>
                            </w:pPr>
                            <w:r w:rsidRPr="00871018">
                              <w:rPr>
                                <w:sz w:val="18"/>
                                <w:szCs w:val="18"/>
                              </w:rPr>
                              <w:t xml:space="preserve">System-level risks require a deliberate focus on and prioritisation of outcomes at the economy- or society-wide scale. This means stewardship that is less focused on the risks and returns of individual holdings, and more on addressing system-level or ‘beta’ issues such as climate change and corruption. It means prioritising long-term, absolute returns for universal owners, including </w:t>
                            </w:r>
                            <w:r w:rsidR="002A129E">
                              <w:rPr>
                                <w:sz w:val="18"/>
                                <w:szCs w:val="18"/>
                              </w:rPr>
                              <w:t xml:space="preserve">broader </w:t>
                            </w:r>
                            <w:r w:rsidRPr="00871018">
                              <w:rPr>
                                <w:sz w:val="18"/>
                                <w:szCs w:val="18"/>
                              </w:rPr>
                              <w:t>real-term financial</w:t>
                            </w:r>
                            <w:r w:rsidRPr="00871018">
                              <w:rPr>
                                <w:rStyle w:val="FootnoteReference"/>
                                <w:sz w:val="18"/>
                                <w:szCs w:val="18"/>
                              </w:rPr>
                              <w:footnoteRef/>
                            </w:r>
                            <w:r w:rsidRPr="00871018">
                              <w:rPr>
                                <w:sz w:val="18"/>
                                <w:szCs w:val="18"/>
                              </w:rPr>
                              <w:t xml:space="preserve"> and welfare outcomes for beneficiaries</w:t>
                            </w:r>
                            <w:r w:rsidR="002A129E">
                              <w:rPr>
                                <w:sz w:val="18"/>
                                <w:szCs w:val="18"/>
                              </w:rPr>
                              <w:t>.</w:t>
                            </w:r>
                            <w:r w:rsidRPr="00871018">
                              <w:rPr>
                                <w:rStyle w:val="FootnoteReference"/>
                                <w:sz w:val="18"/>
                                <w:szCs w:val="18"/>
                              </w:rPr>
                              <w:footnoteRef/>
                            </w:r>
                          </w:p>
                        </w:tc>
                      </w:tr>
                      <w:tr w:rsidR="00871018" w:rsidRPr="00871018" w14:paraId="6B47A900" w14:textId="77777777" w:rsidTr="003E0742">
                        <w:trPr>
                          <w:trHeight w:val="2398"/>
                        </w:trPr>
                        <w:tc>
                          <w:tcPr>
                            <w:tcW w:w="2070" w:type="dxa"/>
                            <w:vAlign w:val="center"/>
                          </w:tcPr>
                          <w:p w14:paraId="675BB8F1" w14:textId="7314596F" w:rsidR="00871018" w:rsidRPr="00871018" w:rsidRDefault="00871018" w:rsidP="00871018">
                            <w:pPr>
                              <w:rPr>
                                <w:sz w:val="18"/>
                                <w:szCs w:val="18"/>
                              </w:rPr>
                            </w:pPr>
                            <w:r w:rsidRPr="00871018">
                              <w:rPr>
                                <w:noProof/>
                                <w:sz w:val="18"/>
                                <w:szCs w:val="18"/>
                              </w:rPr>
                              <w:drawing>
                                <wp:inline distT="0" distB="0" distL="0" distR="0" wp14:anchorId="6EB7EC6F" wp14:editId="1A0E0379">
                                  <wp:extent cx="1022175" cy="901700"/>
                                  <wp:effectExtent l="0" t="0" r="6985" b="0"/>
                                  <wp:docPr id="749835402" name="Picture 749835402" descr="A close-up of hands hold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52243" name="Picture 1836552243" descr="A close-up of hands holding each oth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52035" cy="928041"/>
                                          </a:xfrm>
                                          <a:prstGeom prst="rect">
                                            <a:avLst/>
                                          </a:prstGeom>
                                        </pic:spPr>
                                      </pic:pic>
                                    </a:graphicData>
                                  </a:graphic>
                                </wp:inline>
                              </w:drawing>
                            </w:r>
                          </w:p>
                        </w:tc>
                        <w:tc>
                          <w:tcPr>
                            <w:tcW w:w="6587" w:type="dxa"/>
                          </w:tcPr>
                          <w:p w14:paraId="79CE9733" w14:textId="77777777" w:rsidR="00871018" w:rsidRDefault="00871018" w:rsidP="000F2F1A">
                            <w:pPr>
                              <w:rPr>
                                <w:sz w:val="18"/>
                                <w:szCs w:val="18"/>
                              </w:rPr>
                            </w:pPr>
                            <w:r w:rsidRPr="00871018">
                              <w:rPr>
                                <w:sz w:val="18"/>
                                <w:szCs w:val="18"/>
                              </w:rPr>
                              <w:t>COLLABORATIVE ACTION</w:t>
                            </w:r>
                          </w:p>
                          <w:p w14:paraId="44D2EFD5" w14:textId="0371B55D" w:rsidR="00871018" w:rsidRPr="00871018" w:rsidRDefault="00871018" w:rsidP="000F2F1A">
                            <w:pPr>
                              <w:rPr>
                                <w:sz w:val="18"/>
                                <w:szCs w:val="18"/>
                              </w:rPr>
                            </w:pPr>
                            <w:r w:rsidRPr="00871018">
                              <w:rPr>
                                <w:sz w:val="18"/>
                                <w:szCs w:val="18"/>
                              </w:rPr>
                              <w:t>Focusing on collective goals and the delivery of positive real-world outcomes is possible only through enhanced collaboration among investors, service providers and other broader stakeholders. Challenges inherent in addressing collective system-level risks</w:t>
                            </w:r>
                            <w:r w:rsidR="002A129E">
                              <w:rPr>
                                <w:sz w:val="18"/>
                                <w:szCs w:val="18"/>
                              </w:rPr>
                              <w:t xml:space="preserve"> can</w:t>
                            </w:r>
                            <w:r w:rsidRPr="00871018">
                              <w:rPr>
                                <w:sz w:val="18"/>
                                <w:szCs w:val="18"/>
                              </w:rPr>
                              <w:t xml:space="preserve"> weake</w:t>
                            </w:r>
                            <w:r w:rsidR="002A129E">
                              <w:rPr>
                                <w:sz w:val="18"/>
                                <w:szCs w:val="18"/>
                              </w:rPr>
                              <w:t>n the</w:t>
                            </w:r>
                            <w:r w:rsidRPr="00871018">
                              <w:rPr>
                                <w:sz w:val="18"/>
                                <w:szCs w:val="18"/>
                              </w:rPr>
                              <w:t xml:space="preserve"> pursuit of collective goals </w:t>
                            </w:r>
                            <w:r w:rsidR="002A129E">
                              <w:rPr>
                                <w:sz w:val="18"/>
                                <w:szCs w:val="18"/>
                              </w:rPr>
                              <w:t>compared</w:t>
                            </w:r>
                            <w:r w:rsidR="002A129E" w:rsidRPr="00871018">
                              <w:rPr>
                                <w:sz w:val="18"/>
                                <w:szCs w:val="18"/>
                              </w:rPr>
                              <w:t xml:space="preserve"> </w:t>
                            </w:r>
                            <w:r w:rsidRPr="00871018">
                              <w:rPr>
                                <w:sz w:val="18"/>
                                <w:szCs w:val="18"/>
                              </w:rPr>
                              <w:t xml:space="preserve">to </w:t>
                            </w:r>
                            <w:r w:rsidR="002A129E">
                              <w:rPr>
                                <w:sz w:val="18"/>
                                <w:szCs w:val="18"/>
                              </w:rPr>
                              <w:t>scenarios in which</w:t>
                            </w:r>
                            <w:r w:rsidRPr="00871018">
                              <w:rPr>
                                <w:sz w:val="18"/>
                                <w:szCs w:val="18"/>
                              </w:rPr>
                              <w:t xml:space="preserve"> the distribution of costs and benefits is more equitable.</w:t>
                            </w:r>
                            <w:r w:rsidR="00746B7E">
                              <w:rPr>
                                <w:sz w:val="18"/>
                                <w:szCs w:val="18"/>
                              </w:rPr>
                              <w:t xml:space="preserve"> One such challenge is</w:t>
                            </w:r>
                            <w:r w:rsidR="00746B7E" w:rsidRPr="00871018">
                              <w:rPr>
                                <w:sz w:val="18"/>
                                <w:szCs w:val="18"/>
                              </w:rPr>
                              <w:t xml:space="preserve"> the free-rider problem</w:t>
                            </w:r>
                            <w:r w:rsidR="00746B7E">
                              <w:rPr>
                                <w:sz w:val="18"/>
                                <w:szCs w:val="18"/>
                              </w:rPr>
                              <w:t xml:space="preserve">, in which </w:t>
                            </w:r>
                            <w:r w:rsidR="00746B7E" w:rsidRPr="00871018">
                              <w:rPr>
                                <w:sz w:val="18"/>
                                <w:szCs w:val="18"/>
                              </w:rPr>
                              <w:t>some avoid the costs of addressing collective problems, while reaping the benefits</w:t>
                            </w:r>
                            <w:r w:rsidR="00746B7E">
                              <w:rPr>
                                <w:sz w:val="18"/>
                                <w:szCs w:val="18"/>
                              </w:rPr>
                              <w:t>.</w:t>
                            </w:r>
                          </w:p>
                        </w:tc>
                      </w:tr>
                    </w:tbl>
                    <w:p w14:paraId="7524073A" w14:textId="77777777" w:rsidR="00606553" w:rsidRPr="00871018" w:rsidRDefault="00606553" w:rsidP="000F2F1A">
                      <w:pPr>
                        <w:rPr>
                          <w:sz w:val="18"/>
                          <w:szCs w:val="18"/>
                        </w:rPr>
                      </w:pPr>
                    </w:p>
                  </w:txbxContent>
                </v:textbox>
                <w10:wrap type="tight" anchorx="margin"/>
              </v:shape>
            </w:pict>
          </mc:Fallback>
        </mc:AlternateContent>
      </w:r>
      <w:bookmarkEnd w:id="14"/>
      <w:r w:rsidRPr="00F8177B">
        <w:t>C</w:t>
      </w:r>
      <w:r w:rsidR="00CD4934" w:rsidRPr="00F8177B">
        <w:t>ollaboration amongst investors, particularly in relation to investee and public policy engagement, is viewed within the industry as an effective way for investors to conduct stewardship that maximises long-term value for clients and beneficiaries.</w:t>
      </w:r>
      <w:r w:rsidR="007B156A" w:rsidRPr="00F8177B">
        <w:rPr>
          <w:rStyle w:val="FootnoteReference"/>
        </w:rPr>
        <w:footnoteReference w:id="8"/>
      </w:r>
    </w:p>
    <w:p w14:paraId="53AB2AF2" w14:textId="4238017A" w:rsidR="00A445EE" w:rsidRPr="00F8177B" w:rsidRDefault="00457280" w:rsidP="000F2F1A">
      <w:pPr>
        <w:pStyle w:val="Heading2"/>
      </w:pPr>
      <w:bookmarkStart w:id="15" w:name="_Toc172287037"/>
      <w:bookmarkEnd w:id="8"/>
      <w:r w:rsidRPr="00F8177B">
        <w:lastRenderedPageBreak/>
        <w:t xml:space="preserve">The </w:t>
      </w:r>
      <w:r w:rsidR="003E0742" w:rsidRPr="00F8177B">
        <w:t>value of</w:t>
      </w:r>
      <w:r w:rsidR="00DF463A" w:rsidRPr="00F8177B">
        <w:t xml:space="preserve"> investor</w:t>
      </w:r>
      <w:r w:rsidR="00004021" w:rsidRPr="00F8177B">
        <w:t xml:space="preserve"> collaboration</w:t>
      </w:r>
      <w:bookmarkEnd w:id="15"/>
      <w:r w:rsidR="00004021" w:rsidRPr="00F8177B">
        <w:t xml:space="preserve"> </w:t>
      </w:r>
    </w:p>
    <w:p w14:paraId="0DD8A216" w14:textId="28FE552E" w:rsidR="00CC2784" w:rsidRPr="00F8177B" w:rsidRDefault="00314F84">
      <w:r w:rsidRPr="00F8177B">
        <w:t>Collaboration</w:t>
      </w:r>
      <w:r w:rsidR="00CC2784" w:rsidRPr="00F8177B">
        <w:t xml:space="preserve"> can enable investors to enhance legitimacy</w:t>
      </w:r>
      <w:r w:rsidR="00794EFD" w:rsidRPr="00F8177B">
        <w:t xml:space="preserve"> and </w:t>
      </w:r>
      <w:r w:rsidR="00BC614C" w:rsidRPr="00F8177B">
        <w:t>more effectively achieve</w:t>
      </w:r>
      <w:r w:rsidR="00F45627" w:rsidRPr="00F8177B">
        <w:t xml:space="preserve"> stewardship objectives</w:t>
      </w:r>
      <w:r w:rsidR="00CC2784" w:rsidRPr="00F8177B">
        <w:t xml:space="preserve"> while allowing them to pool resources and reduce costs</w:t>
      </w:r>
      <w:r w:rsidR="003B0CDD" w:rsidRPr="00F8177B">
        <w:t>.</w:t>
      </w:r>
      <w:r w:rsidR="00CC2784" w:rsidRPr="00F8177B">
        <w:t xml:space="preserve"> </w:t>
      </w:r>
      <w:r w:rsidR="003B0CDD" w:rsidRPr="00F8177B">
        <w:t xml:space="preserve">This </w:t>
      </w:r>
      <w:r w:rsidR="00CC2784" w:rsidRPr="00F8177B">
        <w:t xml:space="preserve">in turn facilitates participation by smaller and resource-constrained investors, which is advantageous in markets with highly fragmented ownership. Collaboration is particularly important in the case of stewardship that seeks to address systemic, market-wide risks. </w:t>
      </w:r>
      <w:r w:rsidRPr="00F8177B">
        <w:t xml:space="preserve">Complex </w:t>
      </w:r>
      <w:r w:rsidR="00CC2784" w:rsidRPr="00F8177B">
        <w:t xml:space="preserve">market transformation is more likely to be achieved by investors </w:t>
      </w:r>
      <w:r w:rsidR="00276404" w:rsidRPr="00F8177B">
        <w:t xml:space="preserve">acting collaboratively </w:t>
      </w:r>
      <w:r w:rsidR="00CC2784" w:rsidRPr="00F8177B">
        <w:t>rather than a single institution, even a very large one, acting alone.</w:t>
      </w:r>
      <w:r w:rsidR="00CC2784" w:rsidRPr="00F8177B">
        <w:rPr>
          <w:vertAlign w:val="superscript"/>
        </w:rPr>
        <w:footnoteReference w:id="9"/>
      </w:r>
    </w:p>
    <w:p w14:paraId="03BEB14D" w14:textId="10061E69" w:rsidR="00921B56" w:rsidRPr="00F8177B" w:rsidRDefault="00DA6416" w:rsidP="000F2F1A">
      <w:pPr>
        <w:pStyle w:val="Heading3"/>
      </w:pPr>
      <w:bookmarkStart w:id="16" w:name="_Toc172287038"/>
      <w:r w:rsidRPr="00F8177B">
        <w:t>System-level</w:t>
      </w:r>
      <w:r w:rsidR="00921B56" w:rsidRPr="00F8177B">
        <w:t xml:space="preserve"> risks</w:t>
      </w:r>
      <w:bookmarkEnd w:id="16"/>
      <w:r w:rsidR="00921B56" w:rsidRPr="00F8177B">
        <w:t xml:space="preserve"> </w:t>
      </w:r>
    </w:p>
    <w:p w14:paraId="52279511" w14:textId="3E7C8848" w:rsidR="008D4836" w:rsidRPr="00F8177B" w:rsidRDefault="007B36AC" w:rsidP="000F2F1A">
      <w:r w:rsidRPr="00F8177B">
        <w:t>The World Economic Forum has identified inaction on climate change, human-induced environmental damage, biodiversity loss, erosion of social cohesion</w:t>
      </w:r>
      <w:r w:rsidR="003B0CDD" w:rsidRPr="00F8177B">
        <w:t>,</w:t>
      </w:r>
      <w:r w:rsidRPr="00F8177B">
        <w:t xml:space="preserve"> and livelihood crises as some of the most severe global risks.</w:t>
      </w:r>
      <w:r w:rsidR="001B2247" w:rsidRPr="00F8177B">
        <w:rPr>
          <w:rStyle w:val="FootnoteReference"/>
        </w:rPr>
        <w:footnoteReference w:id="10"/>
      </w:r>
      <w:r w:rsidRPr="00F8177B">
        <w:t xml:space="preserve"> Similarly, the International Corporate Governance Network has stated that environmental risks (such as climate change, water scarcity and pollution), social risks (including human rights violations and income inequality) and governance risks (such as corruption) pose significant systemic threats to the stability of the global financial system.</w:t>
      </w:r>
      <w:r w:rsidR="003C34DA" w:rsidRPr="00F8177B">
        <w:rPr>
          <w:rStyle w:val="FootnoteReference"/>
        </w:rPr>
        <w:footnoteReference w:id="11"/>
      </w:r>
      <w:r w:rsidRPr="00F8177B">
        <w:t xml:space="preserve"> </w:t>
      </w:r>
    </w:p>
    <w:p w14:paraId="437ECF62" w14:textId="297F705B" w:rsidR="002E2644" w:rsidRPr="00F8177B" w:rsidRDefault="002E2644" w:rsidP="000F2F1A">
      <w:r w:rsidRPr="00F8177B">
        <w:t xml:space="preserve">Institutional investors tasked with securing long-term financial returns </w:t>
      </w:r>
      <w:r w:rsidR="003B0CDD" w:rsidRPr="00F8177B">
        <w:t>need</w:t>
      </w:r>
      <w:r w:rsidRPr="00F8177B">
        <w:t xml:space="preserve"> to </w:t>
      </w:r>
      <w:r w:rsidR="003B0CDD" w:rsidRPr="00F8177B">
        <w:t xml:space="preserve">evaluate </w:t>
      </w:r>
      <w:r w:rsidRPr="00F8177B">
        <w:t>whether</w:t>
      </w:r>
      <w:r w:rsidR="001A103B">
        <w:t xml:space="preserve"> </w:t>
      </w:r>
      <w:r w:rsidRPr="00F8177B">
        <w:t xml:space="preserve">system-level risks </w:t>
      </w:r>
      <w:r w:rsidR="003B0CDD" w:rsidRPr="00F8177B">
        <w:t>may affect</w:t>
      </w:r>
      <w:r w:rsidRPr="00F8177B">
        <w:t xml:space="preserve"> their ability to </w:t>
      </w:r>
      <w:r w:rsidR="004074EE" w:rsidRPr="00F8177B">
        <w:t>meet investment objectives and</w:t>
      </w:r>
      <w:r w:rsidR="008F5270" w:rsidRPr="00F8177B">
        <w:t xml:space="preserve"> </w:t>
      </w:r>
      <w:r w:rsidR="00BE0211" w:rsidRPr="00F8177B">
        <w:t>secure</w:t>
      </w:r>
      <w:r w:rsidR="008F5270" w:rsidRPr="00F8177B">
        <w:t xml:space="preserve"> sustainable returns </w:t>
      </w:r>
      <w:r w:rsidRPr="00F8177B">
        <w:t>and, if so, how they can mitigate these threats.</w:t>
      </w:r>
      <w:r w:rsidR="00551F62" w:rsidRPr="00F8177B">
        <w:rPr>
          <w:rStyle w:val="FootnoteReference"/>
        </w:rPr>
        <w:footnoteReference w:id="12"/>
      </w:r>
      <w:r w:rsidRPr="00F8177B">
        <w:t xml:space="preserve"> </w:t>
      </w:r>
    </w:p>
    <w:p w14:paraId="7AA0070D" w14:textId="6F3FFB89" w:rsidR="008D4836" w:rsidRPr="00F8177B" w:rsidRDefault="00BE0211" w:rsidP="000F2F1A">
      <w:r w:rsidRPr="00F8177B">
        <w:t>System-level</w:t>
      </w:r>
      <w:r w:rsidR="00257250" w:rsidRPr="00F8177B">
        <w:t xml:space="preserve"> risks </w:t>
      </w:r>
      <w:r w:rsidR="009C545D" w:rsidRPr="00F8177B">
        <w:t>can</w:t>
      </w:r>
      <w:r w:rsidR="00257250" w:rsidRPr="00F8177B">
        <w:t>not be diversified away</w:t>
      </w:r>
      <w:r w:rsidR="00D67240" w:rsidRPr="00F8177B">
        <w:t xml:space="preserve"> given their economy-wide implications</w:t>
      </w:r>
      <w:r w:rsidR="008D4836" w:rsidRPr="00F8177B">
        <w:t xml:space="preserve">. </w:t>
      </w:r>
      <w:r w:rsidR="00AB4FAB" w:rsidRPr="00F8177B">
        <w:t>There are</w:t>
      </w:r>
      <w:r w:rsidR="008D4836" w:rsidRPr="00F8177B">
        <w:t xml:space="preserve"> more effective approach</w:t>
      </w:r>
      <w:r w:rsidR="00AB4FAB" w:rsidRPr="00F8177B">
        <w:t>es</w:t>
      </w:r>
      <w:r w:rsidR="008D4836" w:rsidRPr="00F8177B">
        <w:t xml:space="preserve"> investors might take</w:t>
      </w:r>
      <w:r w:rsidR="00AB4FAB" w:rsidRPr="00F8177B">
        <w:t>, for example,</w:t>
      </w:r>
      <w:r w:rsidR="008D4836" w:rsidRPr="00F8177B">
        <w:t xml:space="preserve"> </w:t>
      </w:r>
      <w:r w:rsidR="00967A12" w:rsidRPr="00F8177B">
        <w:t>address</w:t>
      </w:r>
      <w:r w:rsidR="00E9401C" w:rsidRPr="00F8177B">
        <w:t>ing</w:t>
      </w:r>
      <w:r w:rsidR="00967A12" w:rsidRPr="00F8177B">
        <w:t xml:space="preserve"> the drivers of system-level sustainability risks by</w:t>
      </w:r>
      <w:r w:rsidR="00160D11" w:rsidRPr="00F8177B">
        <w:t xml:space="preserve"> </w:t>
      </w:r>
      <w:r w:rsidR="008D4836" w:rsidRPr="00F8177B">
        <w:t>improving the sustainability impact of their investments</w:t>
      </w:r>
      <w:r w:rsidR="00AB4FAB" w:rsidRPr="00F8177B">
        <w:t xml:space="preserve"> or </w:t>
      </w:r>
      <w:r w:rsidR="00104E6D" w:rsidRPr="00F8177B">
        <w:t>carry</w:t>
      </w:r>
      <w:r w:rsidR="004F641D" w:rsidRPr="00F8177B">
        <w:t>ing</w:t>
      </w:r>
      <w:r w:rsidR="00104E6D" w:rsidRPr="00F8177B">
        <w:t xml:space="preserve"> out policy engagement</w:t>
      </w:r>
      <w:r w:rsidR="00E9401C" w:rsidRPr="00F8177B">
        <w:t>. This can be done</w:t>
      </w:r>
      <w:r w:rsidR="006C1649" w:rsidRPr="00F8177B">
        <w:t xml:space="preserve"> across the portfolio </w:t>
      </w:r>
      <w:r w:rsidR="00E9401C" w:rsidRPr="00F8177B">
        <w:t>rather than</w:t>
      </w:r>
      <w:r w:rsidR="006C1649" w:rsidRPr="00F8177B">
        <w:t xml:space="preserve"> </w:t>
      </w:r>
      <w:r w:rsidR="0061216B" w:rsidRPr="00F8177B">
        <w:t>targeting</w:t>
      </w:r>
      <w:r w:rsidR="00160D11" w:rsidRPr="00F8177B">
        <w:t xml:space="preserve"> only</w:t>
      </w:r>
      <w:r w:rsidR="0061216B" w:rsidRPr="00F8177B">
        <w:t xml:space="preserve"> particular companies</w:t>
      </w:r>
      <w:r w:rsidR="008D4836" w:rsidRPr="00F8177B">
        <w:t xml:space="preserve"> through investment decisions</w:t>
      </w:r>
      <w:r w:rsidR="008C152C" w:rsidRPr="00F8177B">
        <w:t xml:space="preserve"> and</w:t>
      </w:r>
      <w:r w:rsidR="008D4836" w:rsidRPr="00F8177B">
        <w:t xml:space="preserve"> stewardship.</w:t>
      </w:r>
      <w:r w:rsidR="00665BAF" w:rsidRPr="00F8177B">
        <w:t xml:space="preserve"> </w:t>
      </w:r>
      <w:r w:rsidR="00923CA2" w:rsidRPr="00F8177B">
        <w:t>Institutional investors</w:t>
      </w:r>
      <w:r w:rsidR="00232EAC" w:rsidRPr="00F8177B">
        <w:t xml:space="preserve"> who</w:t>
      </w:r>
      <w:r w:rsidR="00470119" w:rsidRPr="00F8177B">
        <w:t xml:space="preserve"> have d</w:t>
      </w:r>
      <w:r w:rsidR="00831447" w:rsidRPr="00F8177B">
        <w:t>iversified investments across asset classes, sectors</w:t>
      </w:r>
      <w:r w:rsidR="00E9401C" w:rsidRPr="00F8177B">
        <w:t>,</w:t>
      </w:r>
      <w:r w:rsidR="00831447" w:rsidRPr="00F8177B">
        <w:t xml:space="preserve"> and geographies with long term time horizons</w:t>
      </w:r>
      <w:r w:rsidR="00AD1843" w:rsidRPr="00F8177B">
        <w:t xml:space="preserve"> have </w:t>
      </w:r>
      <w:r w:rsidR="00000B06" w:rsidRPr="00F8177B">
        <w:t>both a responsibility and a market</w:t>
      </w:r>
      <w:r w:rsidR="00AD1843" w:rsidRPr="00F8177B">
        <w:t xml:space="preserve"> incentive</w:t>
      </w:r>
      <w:r w:rsidR="0057614A" w:rsidRPr="00F8177B">
        <w:t xml:space="preserve"> </w:t>
      </w:r>
      <w:r w:rsidR="00AD1843" w:rsidRPr="00F8177B">
        <w:t>to</w:t>
      </w:r>
      <w:r w:rsidR="00000B06" w:rsidRPr="00F8177B">
        <w:t xml:space="preserve"> </w:t>
      </w:r>
      <w:r w:rsidR="008C1810" w:rsidRPr="00F8177B">
        <w:t>address system</w:t>
      </w:r>
      <w:r w:rsidR="00E9401C" w:rsidRPr="00F8177B">
        <w:t>-</w:t>
      </w:r>
      <w:r w:rsidR="008C1810" w:rsidRPr="00F8177B">
        <w:t>level risks to which their portfolio</w:t>
      </w:r>
      <w:r w:rsidR="0057614A" w:rsidRPr="00F8177B">
        <w:t xml:space="preserve"> </w:t>
      </w:r>
      <w:r w:rsidR="00C038C1" w:rsidRPr="00F8177B">
        <w:t>is</w:t>
      </w:r>
      <w:r w:rsidR="008C1810" w:rsidRPr="00F8177B">
        <w:t xml:space="preserve"> exposed</w:t>
      </w:r>
      <w:r w:rsidR="004E34B9" w:rsidRPr="00F8177B">
        <w:t>, and to take appropriate action</w:t>
      </w:r>
      <w:r w:rsidR="008C1810" w:rsidRPr="00F8177B">
        <w:t>.</w:t>
      </w:r>
      <w:r w:rsidR="008C1810" w:rsidRPr="00F8177B">
        <w:rPr>
          <w:rStyle w:val="FootnoteReference"/>
        </w:rPr>
        <w:footnoteReference w:id="13"/>
      </w:r>
      <w:r w:rsidR="00232EAC" w:rsidRPr="00F8177B">
        <w:t xml:space="preserve"> </w:t>
      </w:r>
      <w:r w:rsidR="006D62B9" w:rsidRPr="00F8177B">
        <w:t>The sheer scope and scale of action needed to address system</w:t>
      </w:r>
      <w:r w:rsidR="00A75BE7" w:rsidRPr="00F8177B">
        <w:t>-</w:t>
      </w:r>
      <w:r w:rsidR="006D62B9" w:rsidRPr="00F8177B">
        <w:t xml:space="preserve">level risks </w:t>
      </w:r>
      <w:r w:rsidR="2A97779C" w:rsidRPr="00F8177B">
        <w:t xml:space="preserve">requires </w:t>
      </w:r>
      <w:r w:rsidR="006D62B9" w:rsidRPr="00F8177B">
        <w:t>c</w:t>
      </w:r>
      <w:r w:rsidR="000728D4" w:rsidRPr="00F8177B">
        <w:t>ollaborati</w:t>
      </w:r>
      <w:r w:rsidR="00DA6416" w:rsidRPr="00F8177B">
        <w:t xml:space="preserve">on to </w:t>
      </w:r>
      <w:r w:rsidR="0006053E" w:rsidRPr="00F8177B">
        <w:t xml:space="preserve">enable investors to </w:t>
      </w:r>
      <w:r w:rsidR="006424D3" w:rsidRPr="00F8177B">
        <w:t xml:space="preserve">amplify </w:t>
      </w:r>
      <w:r w:rsidR="00C54D57" w:rsidRPr="00F8177B">
        <w:t xml:space="preserve">the </w:t>
      </w:r>
      <w:r w:rsidR="00232F6E" w:rsidRPr="00F8177B">
        <w:t>sustainability impacts of</w:t>
      </w:r>
      <w:r w:rsidR="006424D3" w:rsidRPr="00F8177B">
        <w:t xml:space="preserve"> </w:t>
      </w:r>
      <w:r w:rsidR="00D165DC" w:rsidRPr="00F8177B">
        <w:t xml:space="preserve">a large group of companies </w:t>
      </w:r>
      <w:r w:rsidR="00C54D57" w:rsidRPr="00F8177B">
        <w:t>or</w:t>
      </w:r>
      <w:r w:rsidR="004F4698" w:rsidRPr="00F8177B">
        <w:t xml:space="preserve"> to</w:t>
      </w:r>
      <w:r w:rsidR="00C54D57" w:rsidRPr="00F8177B">
        <w:t xml:space="preserve"> </w:t>
      </w:r>
      <w:r w:rsidR="002B1BBA" w:rsidRPr="00F8177B">
        <w:t xml:space="preserve">support </w:t>
      </w:r>
      <w:r w:rsidR="00DA6416" w:rsidRPr="00F8177B">
        <w:t xml:space="preserve">the </w:t>
      </w:r>
      <w:r w:rsidR="00232F6E" w:rsidRPr="00F8177B">
        <w:t>policy development</w:t>
      </w:r>
      <w:r w:rsidR="00DA6416" w:rsidRPr="00F8177B">
        <w:t>s</w:t>
      </w:r>
      <w:r w:rsidR="00C54D57" w:rsidRPr="00F8177B">
        <w:t xml:space="preserve"> </w:t>
      </w:r>
      <w:r w:rsidR="00DA6416" w:rsidRPr="00F8177B">
        <w:t>needed</w:t>
      </w:r>
      <w:r w:rsidR="00E13320" w:rsidRPr="00F8177B">
        <w:t xml:space="preserve"> to drive changes across economic sectors or</w:t>
      </w:r>
      <w:r w:rsidR="0063331F" w:rsidRPr="00F8177B">
        <w:t xml:space="preserve"> national</w:t>
      </w:r>
      <w:r w:rsidR="00E13320" w:rsidRPr="00F8177B">
        <w:t xml:space="preserve"> borders</w:t>
      </w:r>
      <w:r w:rsidR="00C54D57" w:rsidRPr="00F8177B">
        <w:t>.</w:t>
      </w:r>
      <w:r w:rsidR="001A103B">
        <w:t xml:space="preserve"> </w:t>
      </w:r>
    </w:p>
    <w:p w14:paraId="4371D0AF" w14:textId="2A1EC550" w:rsidR="00921B56" w:rsidRPr="00F8177B" w:rsidRDefault="003C58A7" w:rsidP="000F2F1A">
      <w:pPr>
        <w:pStyle w:val="Heading3"/>
      </w:pPr>
      <w:bookmarkStart w:id="17" w:name="_Toc172287039"/>
      <w:r w:rsidRPr="00F8177B">
        <w:t>Collective action problem</w:t>
      </w:r>
      <w:bookmarkEnd w:id="17"/>
    </w:p>
    <w:p w14:paraId="19426159" w14:textId="292C5B0C" w:rsidR="000D194A" w:rsidRPr="00F8177B" w:rsidRDefault="17FE73AC" w:rsidP="000F2F1A">
      <w:r w:rsidRPr="00F8177B">
        <w:t xml:space="preserve">Tackling system-level risks is affected by </w:t>
      </w:r>
      <w:r w:rsidR="006461AE" w:rsidRPr="00F8177B">
        <w:t>‘</w:t>
      </w:r>
      <w:r w:rsidRPr="00F8177B">
        <w:t>collective action problems</w:t>
      </w:r>
      <w:r w:rsidR="006461AE" w:rsidRPr="00F8177B">
        <w:t>’</w:t>
      </w:r>
      <w:r w:rsidRPr="00F8177B">
        <w:t xml:space="preserve">. </w:t>
      </w:r>
      <w:r w:rsidR="00DA6416" w:rsidRPr="00F8177B">
        <w:t>For</w:t>
      </w:r>
      <w:r w:rsidRPr="00F8177B">
        <w:t xml:space="preserve"> example, action to mitigate climate change results in concentrated costs, while the benefits of taking action are spread out among multiple parties across various levels and regions. Such a situation makes efforts to tackle climate change and other system-level risks vulnerable to </w:t>
      </w:r>
      <w:r w:rsidR="00DA6416" w:rsidRPr="00F8177B">
        <w:t xml:space="preserve">the </w:t>
      </w:r>
      <w:r w:rsidRPr="00F8177B">
        <w:t xml:space="preserve">challenges of free-riding and </w:t>
      </w:r>
      <w:r w:rsidR="00DA6416" w:rsidRPr="00F8177B">
        <w:t xml:space="preserve">the </w:t>
      </w:r>
      <w:r w:rsidRPr="00F8177B">
        <w:t xml:space="preserve">prisoners’ dilemma. Furthermore, these benefits can only be fully realized through widespread collaboration </w:t>
      </w:r>
      <w:r w:rsidR="00DA6416" w:rsidRPr="00F8177B">
        <w:t xml:space="preserve">because </w:t>
      </w:r>
      <w:r w:rsidRPr="00F8177B">
        <w:t>significant emissions reductions require large-scale and cross-border efforts. Consequently, taking action without effective collaboration mechanisms</w:t>
      </w:r>
      <w:r w:rsidR="00DA6416" w:rsidRPr="00F8177B">
        <w:t xml:space="preserve"> is very challenging</w:t>
      </w:r>
      <w:r w:rsidRPr="00F8177B">
        <w:t xml:space="preserve">. </w:t>
      </w:r>
    </w:p>
    <w:p w14:paraId="2798DA57" w14:textId="602ABEE8" w:rsidR="002908B9" w:rsidRPr="00F8177B" w:rsidRDefault="00DA6416" w:rsidP="000F2F1A">
      <w:r w:rsidRPr="00F8177B">
        <w:t>T</w:t>
      </w:r>
      <w:r w:rsidR="002D44BA" w:rsidRPr="00F8177B">
        <w:t xml:space="preserve">imely government action, particularly concerted regulatory efforts at the global level, is the best way to </w:t>
      </w:r>
      <w:r w:rsidR="000578E9" w:rsidRPr="00F8177B">
        <w:t>address the issue</w:t>
      </w:r>
      <w:r w:rsidRPr="00F8177B">
        <w:t>. However, as recognized by</w:t>
      </w:r>
      <w:r w:rsidR="000578E9" w:rsidRPr="00F8177B">
        <w:t xml:space="preserve"> </w:t>
      </w:r>
      <w:r w:rsidR="000922F2" w:rsidRPr="00F8177B">
        <w:t xml:space="preserve">the Nobel </w:t>
      </w:r>
      <w:r w:rsidR="00832956" w:rsidRPr="00F8177B">
        <w:t>prize laur</w:t>
      </w:r>
      <w:r w:rsidR="004006F2" w:rsidRPr="00F8177B">
        <w:t>eate</w:t>
      </w:r>
      <w:r w:rsidR="00832956" w:rsidRPr="00F8177B">
        <w:t xml:space="preserve"> </w:t>
      </w:r>
      <w:r w:rsidR="004C3BB2" w:rsidRPr="00F8177B">
        <w:t xml:space="preserve">Elinor </w:t>
      </w:r>
      <w:r w:rsidR="00832956" w:rsidRPr="00F8177B">
        <w:t>Ostrom</w:t>
      </w:r>
      <w:r w:rsidRPr="00F8177B">
        <w:t>,</w:t>
      </w:r>
      <w:r w:rsidR="006C7708" w:rsidRPr="00F8177B">
        <w:t xml:space="preserve"> </w:t>
      </w:r>
      <w:r w:rsidR="006461AE" w:rsidRPr="00F8177B">
        <w:t>‘</w:t>
      </w:r>
      <w:r w:rsidR="000D583E" w:rsidRPr="00F8177B">
        <w:t xml:space="preserve">devising policies </w:t>
      </w:r>
      <w:r w:rsidR="000D583E" w:rsidRPr="00F8177B">
        <w:lastRenderedPageBreak/>
        <w:t>related to complex environmental processes is a grand challenge and reliance on one scale to solve these problems is naïve.</w:t>
      </w:r>
      <w:r w:rsidR="006461AE" w:rsidRPr="00F8177B">
        <w:t>’</w:t>
      </w:r>
      <w:r w:rsidR="006C7708" w:rsidRPr="00F8177B">
        <w:rPr>
          <w:rStyle w:val="FootnoteReference"/>
        </w:rPr>
        <w:footnoteReference w:id="14"/>
      </w:r>
      <w:r w:rsidR="00856C27" w:rsidRPr="00F8177B">
        <w:t xml:space="preserve"> Ostrom </w:t>
      </w:r>
      <w:r w:rsidR="004006F2" w:rsidRPr="00F8177B">
        <w:t>proposed</w:t>
      </w:r>
      <w:r w:rsidR="00856C27" w:rsidRPr="00F8177B">
        <w:t xml:space="preserve"> </w:t>
      </w:r>
      <w:r w:rsidR="002E777B" w:rsidRPr="00F8177B">
        <w:t xml:space="preserve">a </w:t>
      </w:r>
      <w:r w:rsidR="006461AE" w:rsidRPr="00F8177B">
        <w:t>‘</w:t>
      </w:r>
      <w:r w:rsidR="002E777B" w:rsidRPr="00F8177B">
        <w:t>polycentric</w:t>
      </w:r>
      <w:r w:rsidR="006461AE" w:rsidRPr="00F8177B">
        <w:t>’</w:t>
      </w:r>
      <w:r w:rsidR="002E777B" w:rsidRPr="00F8177B">
        <w:t xml:space="preserve"> approach to climate governance</w:t>
      </w:r>
      <w:r w:rsidR="00AD7961" w:rsidRPr="00F8177B">
        <w:t xml:space="preserve"> </w:t>
      </w:r>
      <w:r w:rsidR="00994F63" w:rsidRPr="00F8177B">
        <w:t xml:space="preserve">in which </w:t>
      </w:r>
      <w:r w:rsidR="00AD7961" w:rsidRPr="00F8177B">
        <w:t xml:space="preserve">not </w:t>
      </w:r>
      <w:r w:rsidR="00994F63" w:rsidRPr="00F8177B">
        <w:t xml:space="preserve">only </w:t>
      </w:r>
      <w:r w:rsidR="00AD7961" w:rsidRPr="00F8177B">
        <w:t>regulators, but also non-state actors, like investors,</w:t>
      </w:r>
      <w:r w:rsidR="00EA26BB" w:rsidRPr="00F8177B">
        <w:t xml:space="preserve"> can come together to facilitate standard setting, </w:t>
      </w:r>
      <w:r w:rsidR="006F1314" w:rsidRPr="00F8177B">
        <w:t>monitoring</w:t>
      </w:r>
      <w:r w:rsidR="00EA26BB" w:rsidRPr="00F8177B">
        <w:t xml:space="preserve">, certification and reporting. </w:t>
      </w:r>
      <w:r w:rsidR="00441E57" w:rsidRPr="00F8177B">
        <w:t>Even profit-seeking actors, such as institutional investors, will voluntarily reduce environmental harms in a way that</w:t>
      </w:r>
      <w:r w:rsidR="00511E4B" w:rsidRPr="00F8177B">
        <w:t xml:space="preserve"> could</w:t>
      </w:r>
      <w:r w:rsidR="00441E57" w:rsidRPr="00F8177B">
        <w:t xml:space="preserve"> limit their individual </w:t>
      </w:r>
      <w:r w:rsidR="00532973" w:rsidRPr="00F8177B">
        <w:t>short-term</w:t>
      </w:r>
      <w:r w:rsidR="00273DD6" w:rsidRPr="00F8177B">
        <w:t xml:space="preserve"> profit</w:t>
      </w:r>
      <w:r w:rsidR="00B57B43" w:rsidRPr="00F8177B">
        <w:t>s</w:t>
      </w:r>
      <w:r w:rsidR="00273DD6" w:rsidRPr="00F8177B">
        <w:t xml:space="preserve">, but only if they know that other actors will behave in the same way. </w:t>
      </w:r>
      <w:r w:rsidR="00532973" w:rsidRPr="00F8177B">
        <w:t xml:space="preserve">While this leaves room for individual actors within the network to effectively compete, collaboration is a necessary and foundational element of governing </w:t>
      </w:r>
      <w:r w:rsidR="007F39BD" w:rsidRPr="00F8177B">
        <w:t>public goods</w:t>
      </w:r>
      <w:r w:rsidR="009C3BD0" w:rsidRPr="00F8177B">
        <w:t>,</w:t>
      </w:r>
      <w:r w:rsidR="007F39BD" w:rsidRPr="00F8177B">
        <w:t xml:space="preserve"> </w:t>
      </w:r>
      <w:r w:rsidR="002E009C" w:rsidRPr="00F8177B">
        <w:t xml:space="preserve">the consumption of which is </w:t>
      </w:r>
      <w:r w:rsidR="00772B37" w:rsidRPr="00F8177B">
        <w:t>non-excludable or non-rivalrous</w:t>
      </w:r>
      <w:r w:rsidR="00C066D0" w:rsidRPr="00F8177B">
        <w:t>, or both</w:t>
      </w:r>
      <w:r w:rsidR="00532973" w:rsidRPr="00F8177B">
        <w:t>.</w:t>
      </w:r>
      <w:r w:rsidR="00532973" w:rsidRPr="00F8177B">
        <w:rPr>
          <w:rStyle w:val="FootnoteReference"/>
        </w:rPr>
        <w:footnoteReference w:id="15"/>
      </w:r>
    </w:p>
    <w:p w14:paraId="172966DA" w14:textId="5A74860D" w:rsidR="00C82B2A" w:rsidRPr="00F8177B" w:rsidRDefault="00897A7B" w:rsidP="000F2F1A">
      <w:pPr>
        <w:pStyle w:val="Heading3"/>
      </w:pPr>
      <w:bookmarkStart w:id="18" w:name="_Toc172287040"/>
      <w:r w:rsidRPr="00F8177B">
        <w:t>Efficiency gains from investor collaboration</w:t>
      </w:r>
      <w:bookmarkEnd w:id="18"/>
      <w:r w:rsidRPr="00F8177B">
        <w:t xml:space="preserve"> </w:t>
      </w:r>
    </w:p>
    <w:p w14:paraId="1F92C54C" w14:textId="3B67CEE1" w:rsidR="00747F0A" w:rsidRPr="00F8177B" w:rsidRDefault="00752E85" w:rsidP="000F2F1A">
      <w:r w:rsidRPr="00F8177B">
        <w:t xml:space="preserve">Investor </w:t>
      </w:r>
      <w:r w:rsidR="002908B9" w:rsidRPr="00F8177B">
        <w:t xml:space="preserve">collaboration has proven </w:t>
      </w:r>
      <w:r w:rsidR="004F5708" w:rsidRPr="00F8177B">
        <w:t>to be one of the most effective</w:t>
      </w:r>
      <w:r w:rsidR="00773C0B" w:rsidRPr="00F8177B">
        <w:t xml:space="preserve"> non-state</w:t>
      </w:r>
      <w:r w:rsidR="004F5708" w:rsidRPr="00F8177B">
        <w:t xml:space="preserve"> collaborative </w:t>
      </w:r>
      <w:r w:rsidR="00BF40A6" w:rsidRPr="00F8177B">
        <w:t>mechanisms</w:t>
      </w:r>
      <w:r w:rsidR="004F5708" w:rsidRPr="00F8177B">
        <w:t xml:space="preserve"> </w:t>
      </w:r>
      <w:r w:rsidR="00F15D0A" w:rsidRPr="00F8177B">
        <w:t xml:space="preserve">for </w:t>
      </w:r>
      <w:r w:rsidR="004F5708" w:rsidRPr="00F8177B">
        <w:t>tackl</w:t>
      </w:r>
      <w:r w:rsidR="00F15D0A" w:rsidRPr="00F8177B">
        <w:t>ing</w:t>
      </w:r>
      <w:r w:rsidR="004F5708" w:rsidRPr="00F8177B">
        <w:t xml:space="preserve"> </w:t>
      </w:r>
      <w:r w:rsidR="006461AE" w:rsidRPr="00F8177B">
        <w:t>‘</w:t>
      </w:r>
      <w:r w:rsidR="004F5708" w:rsidRPr="00F8177B">
        <w:t>collective action problems</w:t>
      </w:r>
      <w:r w:rsidR="006461AE" w:rsidRPr="00F8177B">
        <w:t>’</w:t>
      </w:r>
      <w:r w:rsidR="004F5708" w:rsidRPr="00F8177B">
        <w:t>.</w:t>
      </w:r>
      <w:r w:rsidR="00B3207D" w:rsidRPr="00F8177B">
        <w:t xml:space="preserve"> Working </w:t>
      </w:r>
      <w:r w:rsidR="003D3082" w:rsidRPr="00F8177B">
        <w:t>through collaboration</w:t>
      </w:r>
      <w:r w:rsidR="00B3207D" w:rsidRPr="00F8177B">
        <w:t xml:space="preserve"> and drawing on the perspectives and expertise of a range of organisations can </w:t>
      </w:r>
      <w:r w:rsidR="001C75B0" w:rsidRPr="00F8177B">
        <w:t xml:space="preserve">be beneficial in the following </w:t>
      </w:r>
      <w:r w:rsidR="00F15D0A" w:rsidRPr="00F8177B">
        <w:t>ways</w:t>
      </w:r>
      <w:r w:rsidR="001C75B0" w:rsidRPr="00F8177B">
        <w:t>.</w:t>
      </w:r>
      <w:r w:rsidR="001C75B0" w:rsidRPr="00F8177B">
        <w:rPr>
          <w:rStyle w:val="FootnoteReference"/>
        </w:rPr>
        <w:footnoteReference w:id="16"/>
      </w:r>
      <w:r w:rsidR="001A103B">
        <w:t xml:space="preserve"> </w:t>
      </w:r>
    </w:p>
    <w:p w14:paraId="1A976273" w14:textId="37DE02ED" w:rsidR="00612413" w:rsidRPr="00F8177B" w:rsidRDefault="00F15D0A" w:rsidP="000F2F1A">
      <w:pPr>
        <w:pStyle w:val="ListBullet"/>
      </w:pPr>
      <w:r w:rsidRPr="00F8177B">
        <w:t>B</w:t>
      </w:r>
      <w:r w:rsidR="17FE73AC" w:rsidRPr="00F8177B">
        <w:t>uild</w:t>
      </w:r>
      <w:r w:rsidRPr="00F8177B">
        <w:t>ing</w:t>
      </w:r>
      <w:r w:rsidR="17FE73AC" w:rsidRPr="00F8177B">
        <w:t xml:space="preserve"> knowledge on best practices and skills</w:t>
      </w:r>
    </w:p>
    <w:p w14:paraId="23DB9DDF" w14:textId="09EDA714" w:rsidR="00104CA0" w:rsidRPr="00F8177B" w:rsidRDefault="17FE73AC" w:rsidP="00F15D0A">
      <w:r w:rsidRPr="00F8177B">
        <w:t xml:space="preserve">This collective expertise can be particularly helpful when engaging with a company on a highly complex issue or with a company that operates in a challenging or multi-jurisdictional environment. </w:t>
      </w:r>
    </w:p>
    <w:p w14:paraId="45F87B0A" w14:textId="5A8806D9" w:rsidR="00104CA0" w:rsidRPr="00F8177B" w:rsidRDefault="00F15D0A" w:rsidP="000F2F1A">
      <w:pPr>
        <w:pStyle w:val="ListBullet"/>
      </w:pPr>
      <w:r w:rsidRPr="00F8177B">
        <w:t>I</w:t>
      </w:r>
      <w:r w:rsidR="17FE73AC" w:rsidRPr="00F8177B">
        <w:t>ncreas</w:t>
      </w:r>
      <w:r w:rsidRPr="00F8177B">
        <w:t>ing</w:t>
      </w:r>
      <w:r w:rsidR="17FE73AC" w:rsidRPr="00F8177B">
        <w:t xml:space="preserve"> efficiency</w:t>
      </w:r>
      <w:r w:rsidR="001A103B">
        <w:t xml:space="preserve"> </w:t>
      </w:r>
    </w:p>
    <w:p w14:paraId="00C822A2" w14:textId="08CD9AA6" w:rsidR="00612413" w:rsidRPr="00F8177B" w:rsidRDefault="00F15D0A" w:rsidP="00F15D0A">
      <w:r w:rsidRPr="00F8177B">
        <w:t>E</w:t>
      </w:r>
      <w:r w:rsidR="00A5452D" w:rsidRPr="00F8177B">
        <w:t>xample</w:t>
      </w:r>
      <w:r w:rsidRPr="00F8177B">
        <w:t>s include</w:t>
      </w:r>
      <w:r w:rsidR="00A5452D" w:rsidRPr="00F8177B">
        <w:t xml:space="preserve"> a</w:t>
      </w:r>
      <w:r w:rsidR="00471AF7" w:rsidRPr="00F8177B">
        <w:t>voiding duplication of effort, allow</w:t>
      </w:r>
      <w:r w:rsidR="0653A2FA" w:rsidRPr="00F8177B">
        <w:t>ing</w:t>
      </w:r>
      <w:r w:rsidR="00471AF7" w:rsidRPr="00F8177B">
        <w:t xml:space="preserve"> cost sharing</w:t>
      </w:r>
      <w:r w:rsidR="00E92671" w:rsidRPr="00F8177B">
        <w:t>, shar</w:t>
      </w:r>
      <w:r w:rsidR="680D7562" w:rsidRPr="00F8177B">
        <w:t>ing</w:t>
      </w:r>
      <w:r w:rsidR="00E92671" w:rsidRPr="00F8177B">
        <w:t xml:space="preserve"> tasks and responsibilities according to expertise and location, </w:t>
      </w:r>
      <w:r w:rsidR="00A5452D" w:rsidRPr="00F8177B">
        <w:t>and offer</w:t>
      </w:r>
      <w:r w:rsidR="2ACADDE7" w:rsidRPr="00F8177B">
        <w:t>ing</w:t>
      </w:r>
      <w:r w:rsidR="00A5452D" w:rsidRPr="00F8177B">
        <w:t xml:space="preserve"> smaller and resource-constrained investors the ability to lend their names and shares to the collaboration process. </w:t>
      </w:r>
    </w:p>
    <w:p w14:paraId="19917304" w14:textId="7BAD5DB1" w:rsidR="00747F0A" w:rsidRPr="00F8177B" w:rsidRDefault="00F15D0A" w:rsidP="00383D94">
      <w:pPr>
        <w:pStyle w:val="ListBullet"/>
        <w:spacing w:before="120" w:after="120"/>
      </w:pPr>
      <w:r w:rsidRPr="00F8177B">
        <w:t>E</w:t>
      </w:r>
      <w:r w:rsidR="17FE73AC" w:rsidRPr="00F8177B">
        <w:t>nhanc</w:t>
      </w:r>
      <w:r w:rsidRPr="00F8177B">
        <w:t>ing</w:t>
      </w:r>
      <w:r w:rsidR="17FE73AC" w:rsidRPr="00F8177B">
        <w:t xml:space="preserve"> outcomes </w:t>
      </w:r>
    </w:p>
    <w:p w14:paraId="10FF229C" w14:textId="48307205" w:rsidR="0008615B" w:rsidRPr="00F8177B" w:rsidRDefault="003E30FF" w:rsidP="00F15D0A">
      <w:r w:rsidRPr="00F8177B">
        <w:t xml:space="preserve">Research has shown that collaborative action </w:t>
      </w:r>
      <w:r w:rsidR="00F15D0A" w:rsidRPr="00F8177B">
        <w:t xml:space="preserve">can help </w:t>
      </w:r>
      <w:r w:rsidRPr="00F8177B">
        <w:t xml:space="preserve">institutional investors </w:t>
      </w:r>
      <w:r w:rsidR="00F15D0A" w:rsidRPr="00F8177B">
        <w:t xml:space="preserve">to </w:t>
      </w:r>
      <w:r w:rsidRPr="00F8177B">
        <w:t xml:space="preserve">achieve more impactful </w:t>
      </w:r>
      <w:r w:rsidR="005E01BD" w:rsidRPr="00F8177B">
        <w:t>engagement</w:t>
      </w:r>
      <w:r w:rsidRPr="00F8177B">
        <w:t xml:space="preserve"> for ESG issues in the eyes of corporate management.</w:t>
      </w:r>
      <w:r w:rsidR="00024955" w:rsidRPr="00F8177B">
        <w:rPr>
          <w:rStyle w:val="FootnoteReference"/>
        </w:rPr>
        <w:footnoteReference w:id="17"/>
      </w:r>
      <w:r w:rsidRPr="00F8177B">
        <w:t xml:space="preserve"> A group that includes different types of organisations (asset owners, investment managers and service providers with varying investment</w:t>
      </w:r>
      <w:r w:rsidR="00024955" w:rsidRPr="00F8177B">
        <w:t xml:space="preserve"> strategies, shareholdings and roles in the investment chain) will be more likely to formulate robust engagement strategies and promote </w:t>
      </w:r>
      <w:r w:rsidR="004706B9" w:rsidRPr="00F8177B">
        <w:t>change</w:t>
      </w:r>
      <w:r w:rsidR="00024955" w:rsidRPr="00F8177B">
        <w:t xml:space="preserve">. </w:t>
      </w:r>
    </w:p>
    <w:p w14:paraId="6431AC65" w14:textId="5F77C64B" w:rsidR="00921B56" w:rsidRPr="00F8177B" w:rsidRDefault="00FA72F6" w:rsidP="002D1535">
      <w:pPr>
        <w:pStyle w:val="Heading3"/>
      </w:pPr>
      <w:bookmarkStart w:id="19" w:name="_Toc172287041"/>
      <w:r w:rsidRPr="00F8177B">
        <w:t>Examples of investor collaborative engagements</w:t>
      </w:r>
      <w:bookmarkEnd w:id="19"/>
      <w:r w:rsidRPr="00F8177B">
        <w:t xml:space="preserve"> </w:t>
      </w:r>
    </w:p>
    <w:p w14:paraId="72522321" w14:textId="45D335F2" w:rsidR="00FA422B" w:rsidRPr="00F8177B" w:rsidRDefault="00F15D0A" w:rsidP="000F2F1A">
      <w:r w:rsidRPr="00F8177B">
        <w:t>Some</w:t>
      </w:r>
      <w:r w:rsidR="17FE73AC" w:rsidRPr="00F8177B">
        <w:t xml:space="preserve"> leading responsible investors are expanding their toolkit to achieve positive sustainability impacts through increasingly ambitious stewardship and engagement with policy makers, as well as through their asset allocation. Effective action relies on stewardship by many institutional investors rather than a leading few attempting to mitigate these risks by themselves. </w:t>
      </w:r>
      <w:r w:rsidR="00F27FAB" w:rsidRPr="00F8177B">
        <w:t>Many PRI-led and investor-led</w:t>
      </w:r>
      <w:r w:rsidR="17FE73AC" w:rsidRPr="00F8177B">
        <w:t xml:space="preserve"> collaborative investor engagements</w:t>
      </w:r>
      <w:r w:rsidR="007239C4" w:rsidRPr="00F8177B">
        <w:t xml:space="preserve"> </w:t>
      </w:r>
      <w:r w:rsidR="17FE73AC" w:rsidRPr="00F8177B">
        <w:t xml:space="preserve">on environmental, social and governance issues </w:t>
      </w:r>
      <w:r w:rsidR="00F27FAB" w:rsidRPr="00F8177B">
        <w:t xml:space="preserve">have </w:t>
      </w:r>
      <w:r w:rsidR="17FE73AC" w:rsidRPr="00F8177B">
        <w:t>ha</w:t>
      </w:r>
      <w:r w:rsidR="00F27FAB" w:rsidRPr="00F8177B">
        <w:t xml:space="preserve">d </w:t>
      </w:r>
      <w:r w:rsidR="17FE73AC" w:rsidRPr="00F8177B">
        <w:t xml:space="preserve">positive sustainability impacts. </w:t>
      </w:r>
    </w:p>
    <w:p w14:paraId="541AAB96" w14:textId="28E4F9D0" w:rsidR="00FA422B" w:rsidRPr="00F8177B" w:rsidRDefault="00000000" w:rsidP="000F2F1A">
      <w:hyperlink r:id="rId17">
        <w:r w:rsidR="17FE73AC" w:rsidRPr="00F8177B">
          <w:rPr>
            <w:rStyle w:val="Hyperlink"/>
          </w:rPr>
          <w:t>Advance</w:t>
        </w:r>
      </w:hyperlink>
      <w:r w:rsidR="17FE73AC" w:rsidRPr="00F8177B">
        <w:t xml:space="preserve"> is a stewardship initiative </w:t>
      </w:r>
      <w:r w:rsidR="004C7A8B" w:rsidRPr="00F8177B">
        <w:t xml:space="preserve">in which </w:t>
      </w:r>
      <w:r w:rsidR="17FE73AC" w:rsidRPr="00F8177B">
        <w:t>institutional investors work together to take action on human rights and social issues. The initiative</w:t>
      </w:r>
      <w:r w:rsidR="004C7A8B" w:rsidRPr="00F8177B">
        <w:t>, which</w:t>
      </w:r>
      <w:r w:rsidR="17FE73AC" w:rsidRPr="00F8177B">
        <w:t xml:space="preserve"> primarily seek</w:t>
      </w:r>
      <w:r w:rsidR="004C7A8B" w:rsidRPr="00F8177B">
        <w:t>s</w:t>
      </w:r>
      <w:r w:rsidR="17FE73AC" w:rsidRPr="00F8177B">
        <w:t xml:space="preserve"> change through investors’ engagement with portfolio companies</w:t>
      </w:r>
      <w:r w:rsidR="004C7A8B" w:rsidRPr="00F8177B">
        <w:t>,</w:t>
      </w:r>
      <w:r w:rsidR="17FE73AC" w:rsidRPr="00F8177B">
        <w:t xml:space="preserve"> has three key expectations for the focus companies. These expectations include implementing the United Nations Guiding Principles on Business and Human rights; aligning their political engagement with their responsibility to respect human rights; and deepening progress on the most severe human rights issues in their operations and across their value </w:t>
      </w:r>
      <w:r w:rsidR="17FE73AC" w:rsidRPr="00F8177B">
        <w:lastRenderedPageBreak/>
        <w:t xml:space="preserve">chains. Advance is endorsed by 255 investors, </w:t>
      </w:r>
      <w:r w:rsidR="004C7A8B" w:rsidRPr="00F8177B">
        <w:t xml:space="preserve">of which </w:t>
      </w:r>
      <w:r w:rsidR="17FE73AC" w:rsidRPr="00F8177B">
        <w:t>111 participat</w:t>
      </w:r>
      <w:r w:rsidR="004C7A8B" w:rsidRPr="00F8177B">
        <w:t>e</w:t>
      </w:r>
      <w:r w:rsidR="17FE73AC" w:rsidRPr="00F8177B">
        <w:t xml:space="preserve"> in engagements with companies, and 38 </w:t>
      </w:r>
      <w:r w:rsidR="004C7A8B" w:rsidRPr="00F8177B">
        <w:t xml:space="preserve">are </w:t>
      </w:r>
      <w:r w:rsidR="17FE73AC" w:rsidRPr="00F8177B">
        <w:t xml:space="preserve">companies being engaged. </w:t>
      </w:r>
    </w:p>
    <w:p w14:paraId="1E358A69" w14:textId="24B3266B" w:rsidR="00FA422B" w:rsidRPr="00F8177B" w:rsidRDefault="00000000" w:rsidP="000F2F1A">
      <w:hyperlink r:id="rId18" w:history="1">
        <w:r w:rsidR="00634E50" w:rsidRPr="00F8177B">
          <w:rPr>
            <w:rStyle w:val="Hyperlink"/>
          </w:rPr>
          <w:t>Climate Action 100+</w:t>
        </w:r>
      </w:hyperlink>
      <w:r w:rsidR="00634E50" w:rsidRPr="00F8177B">
        <w:t xml:space="preserve"> is an investor-led initiative </w:t>
      </w:r>
      <w:r w:rsidR="004C7A8B" w:rsidRPr="00F8177B">
        <w:t>with more than</w:t>
      </w:r>
      <w:r w:rsidR="00634E50" w:rsidRPr="00F8177B">
        <w:t xml:space="preserve"> 700 investors engaging with the world’s largest corporate greenhouse gas emitters on improving climate change governance, cutting emissions and strengthening climate-related financial disclosures. </w:t>
      </w:r>
      <w:r w:rsidR="004C7A8B" w:rsidRPr="00F8177B">
        <w:t>Five</w:t>
      </w:r>
      <w:r w:rsidR="00634E50" w:rsidRPr="00F8177B">
        <w:t xml:space="preserve"> years after the launch of the initiative, 91% of focus companies have now aligned with TCFD </w:t>
      </w:r>
      <w:r w:rsidR="004C7A8B" w:rsidRPr="00F8177B">
        <w:t xml:space="preserve">(Task Force on Climate-Related Financial Disclosures) </w:t>
      </w:r>
      <w:r w:rsidR="00634E50" w:rsidRPr="00F8177B">
        <w:t>recommendations, either by supporting the TCFD principles</w:t>
      </w:r>
      <w:r w:rsidR="004C7A8B" w:rsidRPr="00F8177B">
        <w:t>,</w:t>
      </w:r>
      <w:r w:rsidR="00634E50" w:rsidRPr="00F8177B">
        <w:t xml:space="preserve"> or by employing climate scenario planning. </w:t>
      </w:r>
      <w:r w:rsidR="004C7A8B" w:rsidRPr="00F8177B">
        <w:t>Ninety-two per cent</w:t>
      </w:r>
      <w:r w:rsidR="00634E50" w:rsidRPr="00F8177B">
        <w:t xml:space="preserve"> of focus companies have some level of executive oversight, and 75% of companies have committed to net zero by 2050. To put this in perspective, when Climate Action 100+ launched at the end of 2017, only five focus companies had set net zero commitments.</w:t>
      </w:r>
      <w:r w:rsidR="00634E50" w:rsidRPr="00F8177B">
        <w:rPr>
          <w:rStyle w:val="FootnoteReference"/>
        </w:rPr>
        <w:footnoteReference w:id="18"/>
      </w:r>
      <w:r w:rsidR="00634E50" w:rsidRPr="00F8177B">
        <w:t xml:space="preserve"> </w:t>
      </w:r>
    </w:p>
    <w:p w14:paraId="05777D94" w14:textId="50395BCF" w:rsidR="00E95AF7" w:rsidRPr="00F8177B" w:rsidRDefault="00000000" w:rsidP="00E95AF7">
      <w:pPr>
        <w:rPr>
          <w:rFonts w:ascii="Aptos" w:hAnsi="Aptos" w:cs="Aptos"/>
          <w:color w:val="auto"/>
        </w:rPr>
      </w:pPr>
      <w:hyperlink r:id="rId19" w:history="1">
        <w:r w:rsidR="00E95AF7" w:rsidRPr="00F8177B">
          <w:rPr>
            <w:rStyle w:val="Hyperlink"/>
          </w:rPr>
          <w:t>The Net Zero Asset Owner Alliance (NZAOA)</w:t>
        </w:r>
      </w:hyperlink>
      <w:r w:rsidR="00E95AF7" w:rsidRPr="00F8177B">
        <w:t xml:space="preserve"> was launched at the UN Climate Ambition Summit in September 2019. It supports members in setting and reporting on their net-zero targets. </w:t>
      </w:r>
      <w:r w:rsidR="00B37443" w:rsidRPr="00F8177B">
        <w:t>R</w:t>
      </w:r>
      <w:r w:rsidR="00E95AF7" w:rsidRPr="00F8177B">
        <w:t>obust engagement with investee companies, sectors</w:t>
      </w:r>
      <w:r w:rsidR="00B37443" w:rsidRPr="00F8177B">
        <w:t>,</w:t>
      </w:r>
      <w:r w:rsidR="00E95AF7" w:rsidRPr="00F8177B">
        <w:t xml:space="preserve"> value chains, and asset managers </w:t>
      </w:r>
      <w:r w:rsidR="00B37443" w:rsidRPr="00F8177B">
        <w:t>are among</w:t>
      </w:r>
      <w:r w:rsidR="00E95AF7" w:rsidRPr="00F8177B">
        <w:t xml:space="preserve"> the most important mechanisms at asset owners’ disposal</w:t>
      </w:r>
      <w:r w:rsidR="00B37443" w:rsidRPr="00F8177B">
        <w:t xml:space="preserve"> for delivering real-world emissions reductions</w:t>
      </w:r>
      <w:r w:rsidR="00E95AF7" w:rsidRPr="00F8177B">
        <w:t xml:space="preserve">. The Engagement Track of the Alliance focuses on enhancing asset manager engagement by members and supporting peer-to-peer exchange around best practices. The Alliance has published a series of discussion papers on principles for asset managers’ </w:t>
      </w:r>
      <w:hyperlink r:id="rId20" w:history="1">
        <w:r w:rsidR="00E95AF7" w:rsidRPr="00F8177B">
          <w:rPr>
            <w:rStyle w:val="Hyperlink"/>
          </w:rPr>
          <w:t>engagement</w:t>
        </w:r>
      </w:hyperlink>
      <w:r w:rsidR="00E95AF7" w:rsidRPr="00F8177B">
        <w:t xml:space="preserve">, </w:t>
      </w:r>
      <w:hyperlink r:id="rId21" w:history="1">
        <w:r w:rsidR="00E95AF7" w:rsidRPr="00F8177B">
          <w:rPr>
            <w:rStyle w:val="Hyperlink"/>
          </w:rPr>
          <w:t>voting</w:t>
        </w:r>
      </w:hyperlink>
      <w:r w:rsidR="00E95AF7" w:rsidRPr="00F8177B">
        <w:t xml:space="preserve"> and </w:t>
      </w:r>
      <w:hyperlink r:id="rId22" w:history="1">
        <w:r w:rsidR="00E95AF7" w:rsidRPr="00F8177B">
          <w:rPr>
            <w:rStyle w:val="Hyperlink"/>
          </w:rPr>
          <w:t>policy engagement</w:t>
        </w:r>
      </w:hyperlink>
      <w:r w:rsidR="00E95AF7" w:rsidRPr="00F8177B">
        <w:t xml:space="preserve"> practices, as well as </w:t>
      </w:r>
      <w:r w:rsidR="00BF6536" w:rsidRPr="00F8177B">
        <w:t>supporting</w:t>
      </w:r>
      <w:r w:rsidR="00E95AF7" w:rsidRPr="00F8177B">
        <w:t xml:space="preserve"> collaborative dialogue and engagement with managers. The guidance and workstreams of the Engagement Track support members in communicating the systemic risk posed by climate change to their managers and beyond.</w:t>
      </w:r>
    </w:p>
    <w:p w14:paraId="070BADB9" w14:textId="2A3293B8" w:rsidR="00FA422B" w:rsidRPr="00F8177B" w:rsidRDefault="00FA422B" w:rsidP="000F2F1A">
      <w:r w:rsidRPr="00F8177B">
        <w:t xml:space="preserve">Storebrand Asset Management initiated and established the Investors Policy Dialogue </w:t>
      </w:r>
      <w:r w:rsidR="00B37443" w:rsidRPr="00F8177B">
        <w:t xml:space="preserve">on Deforestation </w:t>
      </w:r>
      <w:r w:rsidRPr="00F8177B">
        <w:t>(</w:t>
      </w:r>
      <w:hyperlink r:id="rId23" w:history="1">
        <w:r w:rsidRPr="00F8177B">
          <w:rPr>
            <w:rStyle w:val="Hyperlink"/>
          </w:rPr>
          <w:t>IPDD</w:t>
        </w:r>
      </w:hyperlink>
      <w:r w:rsidRPr="00F8177B">
        <w:t>) in 2020, a collaborative initiative to engage with public agencies and industry associations in selected countries. The IPDD seeks to ensure long-term financial sustainability of investments by promoting sustainable land use and forest management and respect for human rights. As of April 2022, IPDD is supported by 58 global institutional investors from 18 countries</w:t>
      </w:r>
      <w:r w:rsidR="00B37443" w:rsidRPr="00F8177B">
        <w:t>.</w:t>
      </w:r>
      <w:r w:rsidRPr="00F8177B">
        <w:rPr>
          <w:rStyle w:val="FootnoteReference"/>
        </w:rPr>
        <w:footnoteReference w:id="19"/>
      </w:r>
      <w:r w:rsidRPr="00F8177B">
        <w:t xml:space="preserve"> </w:t>
      </w:r>
    </w:p>
    <w:p w14:paraId="58DA199A" w14:textId="19B841D9" w:rsidR="00D73638" w:rsidRPr="00F8177B" w:rsidRDefault="00FA422B" w:rsidP="000F2F1A">
      <w:r w:rsidRPr="00F8177B">
        <w:t xml:space="preserve">Another </w:t>
      </w:r>
      <w:r w:rsidR="00B37443" w:rsidRPr="00F8177B">
        <w:t xml:space="preserve">industry-led </w:t>
      </w:r>
      <w:r w:rsidRPr="00F8177B">
        <w:t>initiative is the Platform Living Wage Financials (</w:t>
      </w:r>
      <w:hyperlink r:id="rId24" w:history="1">
        <w:r w:rsidRPr="00F8177B">
          <w:rPr>
            <w:rStyle w:val="Hyperlink"/>
          </w:rPr>
          <w:t>PLWF</w:t>
        </w:r>
      </w:hyperlink>
      <w:r w:rsidRPr="00F8177B">
        <w:t xml:space="preserve">), an alliance of 18 financial institutions (banks, insurers, pension fund asset managers, and asset managers). PLWF uses it financial leverage to engage investee companies to address the non-payment of a living wage to workers in their global supply chains. PLWF understands that individual companies cannot solve systemic issues on their own </w:t>
      </w:r>
      <w:r w:rsidR="00B37443" w:rsidRPr="00F8177B">
        <w:t>so</w:t>
      </w:r>
      <w:r w:rsidRPr="00F8177B">
        <w:t xml:space="preserve"> their strategy is to address entire sectors. They have focused on more than 50 companies across three sectors to date: garment and footwear; food production; and food retail.</w:t>
      </w:r>
      <w:r w:rsidRPr="00F8177B">
        <w:rPr>
          <w:rStyle w:val="FootnoteReference"/>
        </w:rPr>
        <w:footnoteReference w:id="20"/>
      </w:r>
    </w:p>
    <w:p w14:paraId="39EF2E7C" w14:textId="77777777" w:rsidR="0044219F" w:rsidRPr="00F8177B" w:rsidRDefault="0044219F">
      <w:pPr>
        <w:spacing w:before="0" w:after="160" w:line="259" w:lineRule="auto"/>
        <w:rPr>
          <w:rFonts w:eastAsiaTheme="majorEastAsia" w:cstheme="majorBidi"/>
          <w:caps/>
          <w:color w:val="2F5496" w:themeColor="accent1" w:themeShade="BF"/>
          <w:sz w:val="40"/>
          <w:szCs w:val="32"/>
        </w:rPr>
      </w:pPr>
      <w:r w:rsidRPr="00F8177B">
        <w:br w:type="page"/>
      </w:r>
    </w:p>
    <w:p w14:paraId="3A9BE406" w14:textId="1DE01E18" w:rsidR="003B6D50" w:rsidRPr="00F8177B" w:rsidRDefault="005F7EA6" w:rsidP="000433A3">
      <w:pPr>
        <w:pStyle w:val="Heading1"/>
        <w:spacing w:before="0" w:line="288" w:lineRule="auto"/>
      </w:pPr>
      <w:bookmarkStart w:id="20" w:name="_Toc172287042"/>
      <w:r w:rsidRPr="00F8177B">
        <w:lastRenderedPageBreak/>
        <w:t xml:space="preserve">The </w:t>
      </w:r>
      <w:r w:rsidR="009948D9" w:rsidRPr="00F8177B">
        <w:t xml:space="preserve">legal </w:t>
      </w:r>
      <w:r w:rsidRPr="00F8177B">
        <w:t>framework for</w:t>
      </w:r>
      <w:r w:rsidR="000E6D89" w:rsidRPr="00F8177B">
        <w:t xml:space="preserve"> </w:t>
      </w:r>
      <w:r w:rsidR="00372F12" w:rsidRPr="00F8177B">
        <w:t>collaborative engagement</w:t>
      </w:r>
      <w:bookmarkEnd w:id="20"/>
    </w:p>
    <w:p w14:paraId="59676DBE" w14:textId="67A4EC10" w:rsidR="00641806" w:rsidRPr="00F8177B" w:rsidRDefault="00000000" w:rsidP="00903036">
      <w:pPr>
        <w:spacing w:before="80" w:after="80" w:line="276" w:lineRule="auto"/>
      </w:pPr>
      <w:hyperlink r:id="rId25" w:history="1">
        <w:r w:rsidR="00641806" w:rsidRPr="00F8177B">
          <w:rPr>
            <w:rStyle w:val="Hyperlink"/>
            <w:rFonts w:cstheme="minorHAnsi"/>
          </w:rPr>
          <w:t>A Legal Framework for Impact</w:t>
        </w:r>
      </w:hyperlink>
      <w:r w:rsidR="00B9715C" w:rsidRPr="00F8177B">
        <w:rPr>
          <w:rStyle w:val="Hyperlink"/>
          <w:rFonts w:cstheme="minorHAnsi"/>
        </w:rPr>
        <w:t xml:space="preserve"> (LFI)</w:t>
      </w:r>
      <w:r w:rsidR="00641806" w:rsidRPr="00F8177B">
        <w:t xml:space="preserve">, authored by Freshfields Bruckhaus Deringer and commissioned by the PRI, UNEP FI and the Generation Foundation, is a ground-breaking legal study on whether the law in 11 jurisdictions around the world </w:t>
      </w:r>
      <w:r w:rsidR="00641806" w:rsidRPr="00F8177B">
        <w:rPr>
          <w:b/>
          <w:bCs/>
        </w:rPr>
        <w:t>permits</w:t>
      </w:r>
      <w:r w:rsidR="00641806" w:rsidRPr="00F8177B">
        <w:t xml:space="preserve"> </w:t>
      </w:r>
      <w:r w:rsidR="000D194A" w:rsidRPr="00F8177B">
        <w:t>and</w:t>
      </w:r>
      <w:r w:rsidR="00641806" w:rsidRPr="00F8177B">
        <w:t xml:space="preserve"> even</w:t>
      </w:r>
      <w:r w:rsidR="000D194A" w:rsidRPr="00F8177B">
        <w:t xml:space="preserve"> in some cases</w:t>
      </w:r>
      <w:r w:rsidR="00641806" w:rsidRPr="00F8177B">
        <w:t xml:space="preserve"> </w:t>
      </w:r>
      <w:r w:rsidR="00641806" w:rsidRPr="00F8177B">
        <w:rPr>
          <w:b/>
          <w:bCs/>
        </w:rPr>
        <w:t>requires</w:t>
      </w:r>
      <w:r w:rsidR="00641806" w:rsidRPr="00F8177B">
        <w:t xml:space="preserve"> investors to tackle some of the world’s most urgent sustainability challenges, by setting and pursuing sustainability impact goals.</w:t>
      </w:r>
    </w:p>
    <w:p w14:paraId="2E1B5EA0" w14:textId="4C3F31E0" w:rsidR="002A03D1" w:rsidRPr="00F8177B" w:rsidRDefault="002A03D1" w:rsidP="00903036">
      <w:pPr>
        <w:spacing w:before="80" w:after="80" w:line="276" w:lineRule="auto"/>
      </w:pPr>
      <w:r w:rsidRPr="00F8177B">
        <w:t xml:space="preserve">The report </w:t>
      </w:r>
      <w:r w:rsidR="0007055A" w:rsidRPr="00F8177B">
        <w:t xml:space="preserve">found </w:t>
      </w:r>
      <w:r w:rsidRPr="00F8177B">
        <w:t>that</w:t>
      </w:r>
      <w:r w:rsidR="0007055A" w:rsidRPr="00F8177B">
        <w:t>,</w:t>
      </w:r>
      <w:r w:rsidRPr="00F8177B">
        <w:t xml:space="preserve"> in the 11 jurisdictions analysed</w:t>
      </w:r>
      <w:r w:rsidR="0007055A" w:rsidRPr="00F8177B">
        <w:t>,</w:t>
      </w:r>
      <w:r w:rsidRPr="00F8177B">
        <w:t xml:space="preserve"> investors are broadly permitted to consider pursing sustainability impact goals </w:t>
      </w:r>
      <w:r w:rsidR="0007055A" w:rsidRPr="00F8177B">
        <w:t xml:space="preserve">if </w:t>
      </w:r>
      <w:r w:rsidRPr="00F8177B">
        <w:t xml:space="preserve">this would contribute to their financial return objectives. While financial return is generally regarded as the primary purpose and goal of investors, investors are likely to have a legal obligation to consider pursuing sustainability impact goals </w:t>
      </w:r>
      <w:proofErr w:type="spellStart"/>
      <w:r w:rsidRPr="00F8177B">
        <w:t>where</w:t>
      </w:r>
      <w:proofErr w:type="spellEnd"/>
      <w:r w:rsidRPr="00F8177B">
        <w:t xml:space="preserve"> doing so can contribute to achieving their investment objectives, or where a sustainability risk bears on investors’ duties to pursue financial goals.</w:t>
      </w:r>
    </w:p>
    <w:p w14:paraId="3B91B223" w14:textId="22C2F8D6" w:rsidR="002A03D1" w:rsidRPr="00F8177B" w:rsidRDefault="002A03D1" w:rsidP="00903036">
      <w:pPr>
        <w:spacing w:before="80" w:after="80" w:line="276" w:lineRule="auto"/>
      </w:pPr>
      <w:r w:rsidRPr="00F8177B">
        <w:t xml:space="preserve">In some circumstances investors can pursue sustainability goals in parallel with financial goals </w:t>
      </w:r>
      <w:r w:rsidR="0007055A" w:rsidRPr="00F8177B">
        <w:t xml:space="preserve">but </w:t>
      </w:r>
      <w:r w:rsidRPr="00F8177B">
        <w:t>this depend</w:t>
      </w:r>
      <w:r w:rsidR="0007055A" w:rsidRPr="00F8177B">
        <w:t>s</w:t>
      </w:r>
      <w:r w:rsidRPr="00F8177B">
        <w:t xml:space="preserve"> on the jurisdiction and investor type. Investors are legally required to pursue sustainability impacts if they have committed to do so in the stated objectives of the financial product.</w:t>
      </w:r>
      <w:r w:rsidR="00BA5232" w:rsidRPr="00F8177B">
        <w:t xml:space="preserve"> </w:t>
      </w:r>
      <w:r w:rsidR="009F65A0" w:rsidRPr="00F8177B">
        <w:t xml:space="preserve">This report also </w:t>
      </w:r>
      <w:r w:rsidR="00327AB5" w:rsidRPr="00F8177B">
        <w:t xml:space="preserve">provides further insights about whether collaborative engagements are </w:t>
      </w:r>
      <w:r w:rsidR="00CC2784" w:rsidRPr="00F8177B">
        <w:t>expected or permitted in different jurisdictions.</w:t>
      </w:r>
    </w:p>
    <w:p w14:paraId="3D208F1F" w14:textId="58015F86" w:rsidR="009948D9" w:rsidRPr="00F8177B" w:rsidRDefault="00926F34" w:rsidP="000F2F1A">
      <w:pPr>
        <w:pStyle w:val="Heading2"/>
      </w:pPr>
      <w:bookmarkStart w:id="21" w:name="_Toc172287043"/>
      <w:r w:rsidRPr="00F8177B">
        <w:t>Expectations for investors to participate in collaborative engagements</w:t>
      </w:r>
      <w:bookmarkEnd w:id="21"/>
    </w:p>
    <w:p w14:paraId="33784499" w14:textId="7F9BC16A" w:rsidR="006E58B1" w:rsidRPr="00F8177B" w:rsidRDefault="004E4EA2" w:rsidP="00903036">
      <w:pPr>
        <w:spacing w:before="80" w:after="80" w:line="276" w:lineRule="auto"/>
      </w:pPr>
      <w:r w:rsidRPr="00F8177B">
        <w:t>The</w:t>
      </w:r>
      <w:r w:rsidR="000439C5" w:rsidRPr="00F8177B">
        <w:t xml:space="preserve"> finding</w:t>
      </w:r>
      <w:r w:rsidR="003A4C58" w:rsidRPr="00F8177B">
        <w:t>s</w:t>
      </w:r>
      <w:r w:rsidR="000439C5" w:rsidRPr="00F8177B">
        <w:t xml:space="preserve"> of </w:t>
      </w:r>
      <w:r w:rsidR="00564080" w:rsidRPr="00F8177B">
        <w:rPr>
          <w:i/>
          <w:iCs/>
        </w:rPr>
        <w:t>A Legal Framework for Impact</w:t>
      </w:r>
      <w:r w:rsidR="007E3C53" w:rsidRPr="00F8177B">
        <w:t xml:space="preserve"> </w:t>
      </w:r>
      <w:r w:rsidR="000C67CD" w:rsidRPr="00F8177B">
        <w:t>show that</w:t>
      </w:r>
      <w:r w:rsidR="002E0C05" w:rsidRPr="00F8177B">
        <w:t>,</w:t>
      </w:r>
      <w:r w:rsidR="000C67CD" w:rsidRPr="00F8177B">
        <w:t xml:space="preserve"> </w:t>
      </w:r>
      <w:r w:rsidR="00127B4A" w:rsidRPr="00F8177B">
        <w:t xml:space="preserve">if an investor concludes that </w:t>
      </w:r>
      <w:r w:rsidR="002F38B8" w:rsidRPr="00F8177B">
        <w:t xml:space="preserve">one or more </w:t>
      </w:r>
      <w:r w:rsidR="00C43D70" w:rsidRPr="00F8177B">
        <w:t xml:space="preserve">sustainability factors poses a material risk to its ability to achieve its financial investment objectives, </w:t>
      </w:r>
      <w:r w:rsidR="00F23BC1" w:rsidRPr="00F8177B">
        <w:t>the investor</w:t>
      </w:r>
      <w:r w:rsidR="00C43D70" w:rsidRPr="00F8177B">
        <w:t xml:space="preserve"> will generally have a legal obligation to consider what, if anything, </w:t>
      </w:r>
      <w:r w:rsidR="00E02896" w:rsidRPr="00F8177B">
        <w:t xml:space="preserve">they </w:t>
      </w:r>
      <w:r w:rsidR="00C43D70" w:rsidRPr="00F8177B">
        <w:t>can do to mitigate that risk (using some or all of</w:t>
      </w:r>
      <w:r w:rsidR="55DBEEF6" w:rsidRPr="00F8177B">
        <w:t xml:space="preserve"> </w:t>
      </w:r>
      <w:r w:rsidR="00E02896" w:rsidRPr="00F8177B">
        <w:t xml:space="preserve">their </w:t>
      </w:r>
      <w:r w:rsidR="00C43D70" w:rsidRPr="00F8177B">
        <w:t>investment powers, stewardship, policy engagement or otherwise) and to act accordingly</w:t>
      </w:r>
      <w:r w:rsidR="00F760A4" w:rsidRPr="00F8177B">
        <w:t>.</w:t>
      </w:r>
      <w:r w:rsidR="007F601F" w:rsidRPr="00F8177B">
        <w:t xml:space="preserve"> This means that i</w:t>
      </w:r>
      <w:r w:rsidR="001134C2" w:rsidRPr="00F8177B">
        <w:t xml:space="preserve">nvestors </w:t>
      </w:r>
      <w:r w:rsidR="009B6B63" w:rsidRPr="00F8177B">
        <w:t xml:space="preserve">have an obligation to consider </w:t>
      </w:r>
      <w:r w:rsidR="00346B52" w:rsidRPr="00F8177B">
        <w:t xml:space="preserve">pursuing sustainability impact goals </w:t>
      </w:r>
      <w:r w:rsidR="00E02896" w:rsidRPr="00F8177B">
        <w:t xml:space="preserve">if </w:t>
      </w:r>
      <w:r w:rsidR="00346B52" w:rsidRPr="00F8177B">
        <w:t xml:space="preserve">doing so can contribute to </w:t>
      </w:r>
      <w:r w:rsidR="00E2385E" w:rsidRPr="00F8177B">
        <w:t>managing risks and achieving</w:t>
      </w:r>
      <w:r w:rsidR="00726AC0" w:rsidRPr="00F8177B">
        <w:t xml:space="preserve"> their</w:t>
      </w:r>
      <w:r w:rsidR="00E2385E" w:rsidRPr="00F8177B">
        <w:t xml:space="preserve"> financia</w:t>
      </w:r>
      <w:r w:rsidR="00726AC0" w:rsidRPr="00F8177B">
        <w:t>l objectives.</w:t>
      </w:r>
    </w:p>
    <w:p w14:paraId="3D072A1C" w14:textId="4C496CE3" w:rsidR="005636B0" w:rsidRPr="00F8177B" w:rsidRDefault="00F93A91" w:rsidP="00903036">
      <w:pPr>
        <w:spacing w:before="80" w:after="80" w:line="276" w:lineRule="auto"/>
      </w:pPr>
      <w:r w:rsidRPr="00F8177B">
        <w:t>An investor may decide to act individually</w:t>
      </w:r>
      <w:r w:rsidR="00E02896" w:rsidRPr="00F8177B">
        <w:t xml:space="preserve"> but</w:t>
      </w:r>
      <w:r w:rsidRPr="00F8177B">
        <w:t xml:space="preserve"> a number of </w:t>
      </w:r>
      <w:r w:rsidR="21CABD79" w:rsidRPr="00F8177B">
        <w:t>considerations</w:t>
      </w:r>
      <w:r w:rsidRPr="00F8177B">
        <w:t xml:space="preserve"> </w:t>
      </w:r>
      <w:r w:rsidR="2A5C26FA" w:rsidRPr="00F8177B">
        <w:t xml:space="preserve">may </w:t>
      </w:r>
      <w:r w:rsidR="665206EC" w:rsidRPr="00F8177B">
        <w:t>lead</w:t>
      </w:r>
      <w:r w:rsidR="2A5C26FA" w:rsidRPr="00F8177B">
        <w:t xml:space="preserve"> to</w:t>
      </w:r>
      <w:r w:rsidRPr="00F8177B">
        <w:t xml:space="preserve"> a decision to </w:t>
      </w:r>
      <w:r w:rsidR="00345C85" w:rsidRPr="00F8177B">
        <w:t>participate in</w:t>
      </w:r>
      <w:r w:rsidRPr="00F8177B">
        <w:t xml:space="preserve"> collective investor action </w:t>
      </w:r>
      <w:r w:rsidR="00E02896" w:rsidRPr="00F8177B">
        <w:t xml:space="preserve">that </w:t>
      </w:r>
      <w:r w:rsidR="4B9516E1" w:rsidRPr="00F8177B">
        <w:t>target</w:t>
      </w:r>
      <w:r w:rsidR="37D8FAE1" w:rsidRPr="00F8177B">
        <w:t>s</w:t>
      </w:r>
      <w:r w:rsidRPr="00F8177B">
        <w:t xml:space="preserve"> the same </w:t>
      </w:r>
      <w:r w:rsidR="00F972C3" w:rsidRPr="00F8177B">
        <w:t xml:space="preserve">sustainability </w:t>
      </w:r>
      <w:r w:rsidR="6EF8D9E5" w:rsidRPr="00F8177B">
        <w:t xml:space="preserve">impact </w:t>
      </w:r>
      <w:r w:rsidRPr="00F8177B">
        <w:t xml:space="preserve">goal. </w:t>
      </w:r>
      <w:r w:rsidR="12D8E2F1" w:rsidRPr="00F8177B">
        <w:t>F</w:t>
      </w:r>
      <w:r w:rsidR="00716A1A" w:rsidRPr="00F8177B">
        <w:t>actors</w:t>
      </w:r>
      <w:r w:rsidR="65DC0DE4" w:rsidRPr="00F8177B">
        <w:t xml:space="preserve"> </w:t>
      </w:r>
      <w:r w:rsidR="008E4405" w:rsidRPr="00F8177B">
        <w:t>include</w:t>
      </w:r>
      <w:r w:rsidR="00632CB6" w:rsidRPr="00F8177B">
        <w:t xml:space="preserve"> the direct and indirect costs and risks of pursuing th</w:t>
      </w:r>
      <w:r w:rsidR="00A57858" w:rsidRPr="00F8177B">
        <w:t>e</w:t>
      </w:r>
      <w:r w:rsidR="00632CB6" w:rsidRPr="00F8177B">
        <w:t xml:space="preserve"> course of </w:t>
      </w:r>
      <w:r w:rsidR="00585190" w:rsidRPr="00F8177B">
        <w:t>action</w:t>
      </w:r>
      <w:r w:rsidR="00AE7A5C" w:rsidRPr="00F8177B">
        <w:t xml:space="preserve">, and the likelihood that </w:t>
      </w:r>
      <w:r w:rsidR="001D1EA1" w:rsidRPr="00F8177B">
        <w:t xml:space="preserve">collaboration </w:t>
      </w:r>
      <w:r w:rsidR="00AE7A5C" w:rsidRPr="00F8177B">
        <w:t xml:space="preserve">will </w:t>
      </w:r>
      <w:r w:rsidR="778A6B08" w:rsidRPr="00F8177B">
        <w:t xml:space="preserve">be more effective in </w:t>
      </w:r>
      <w:r w:rsidR="00446E7E" w:rsidRPr="00F8177B">
        <w:t>address</w:t>
      </w:r>
      <w:r w:rsidR="174D302D" w:rsidRPr="00F8177B">
        <w:t>ing</w:t>
      </w:r>
      <w:r w:rsidR="00446E7E" w:rsidRPr="00F8177B">
        <w:t xml:space="preserve"> the </w:t>
      </w:r>
      <w:r w:rsidR="759D6E9F" w:rsidRPr="00F8177B">
        <w:t>issue</w:t>
      </w:r>
      <w:r w:rsidR="00C95ECA" w:rsidRPr="00F8177B">
        <w:t>.</w:t>
      </w:r>
    </w:p>
    <w:p w14:paraId="3C4CE6A8" w14:textId="5BD345D5" w:rsidR="00867F95" w:rsidRPr="00F8177B" w:rsidRDefault="009C5F0B" w:rsidP="00903036">
      <w:pPr>
        <w:spacing w:before="80" w:after="80" w:line="276" w:lineRule="auto"/>
      </w:pPr>
      <w:r w:rsidRPr="00F8177B">
        <w:t xml:space="preserve">While an investor may decide to act individually, </w:t>
      </w:r>
      <w:r w:rsidR="008B5C59" w:rsidRPr="00F8177B">
        <w:t xml:space="preserve">collaboration is </w:t>
      </w:r>
      <w:r w:rsidR="69AB9A94" w:rsidRPr="00F8177B">
        <w:t xml:space="preserve">a </w:t>
      </w:r>
      <w:r w:rsidR="006F635D" w:rsidRPr="00F8177B">
        <w:t>significant</w:t>
      </w:r>
      <w:r w:rsidR="69AB9A94" w:rsidRPr="00F8177B">
        <w:t xml:space="preserve"> additional lever</w:t>
      </w:r>
      <w:r w:rsidR="008B5C59" w:rsidRPr="00F8177B">
        <w:t xml:space="preserve"> for investors</w:t>
      </w:r>
      <w:r w:rsidR="00B1118D" w:rsidRPr="00F8177B">
        <w:t xml:space="preserve"> to </w:t>
      </w:r>
      <w:r w:rsidR="00501A9C" w:rsidRPr="00F8177B">
        <w:t>encourage investee companies</w:t>
      </w:r>
      <w:r w:rsidR="00B76211" w:rsidRPr="00F8177B">
        <w:t xml:space="preserve"> or the real economy</w:t>
      </w:r>
      <w:r w:rsidR="00501A9C" w:rsidRPr="00F8177B">
        <w:t xml:space="preserve"> to address </w:t>
      </w:r>
      <w:r w:rsidR="00DA6416" w:rsidRPr="00F8177B">
        <w:t>system-level</w:t>
      </w:r>
      <w:r w:rsidR="00501A9C" w:rsidRPr="00F8177B">
        <w:t xml:space="preserve"> risks</w:t>
      </w:r>
      <w:r w:rsidRPr="00F8177B">
        <w:t>.</w:t>
      </w:r>
      <w:r w:rsidR="008B5C59" w:rsidRPr="00F8177B">
        <w:t xml:space="preserve"> </w:t>
      </w:r>
      <w:r w:rsidR="7648160E" w:rsidRPr="00F8177B">
        <w:t>I</w:t>
      </w:r>
      <w:r w:rsidR="006F635D" w:rsidRPr="00F8177B">
        <w:t>t is more foreseeable that a group of investors, acting collectively and holding in aggregate a substantial portion of the securities of relevant investee enterprises could achieve</w:t>
      </w:r>
      <w:r w:rsidR="001227ED" w:rsidRPr="00F8177B">
        <w:t xml:space="preserve"> </w:t>
      </w:r>
      <w:r w:rsidR="006F635D" w:rsidRPr="00F8177B">
        <w:t>transformative sustainability impacts</w:t>
      </w:r>
      <w:r w:rsidR="006F635D" w:rsidRPr="00F8177B">
        <w:rPr>
          <w:vertAlign w:val="superscript"/>
        </w:rPr>
        <w:footnoteReference w:id="21"/>
      </w:r>
      <w:r w:rsidR="006F635D" w:rsidRPr="00F8177B">
        <w:t>.</w:t>
      </w:r>
    </w:p>
    <w:p w14:paraId="1C9DA6EB" w14:textId="64C32965" w:rsidR="00AE050A" w:rsidRPr="00F8177B" w:rsidRDefault="00E02896" w:rsidP="00903036">
      <w:pPr>
        <w:spacing w:before="80" w:after="80" w:line="276" w:lineRule="auto"/>
      </w:pPr>
      <w:r w:rsidRPr="00F8177B">
        <w:t>T</w:t>
      </w:r>
      <w:r w:rsidR="0801FF49" w:rsidRPr="00F8177B">
        <w:t xml:space="preserve">he LFI research </w:t>
      </w:r>
      <w:r w:rsidRPr="00F8177B">
        <w:t xml:space="preserve">found </w:t>
      </w:r>
      <w:r w:rsidR="0801FF49" w:rsidRPr="00F8177B">
        <w:t xml:space="preserve">that </w:t>
      </w:r>
      <w:r w:rsidR="00D525CB" w:rsidRPr="00F8177B">
        <w:t>i</w:t>
      </w:r>
      <w:r w:rsidR="007909DD" w:rsidRPr="00F8177B">
        <w:t>nvestor cooperation is clearly permitted</w:t>
      </w:r>
      <w:r w:rsidRPr="00F8177B">
        <w:t xml:space="preserve"> at some level across jurisdictions but </w:t>
      </w:r>
      <w:r w:rsidR="48A58C4B" w:rsidRPr="00F8177B">
        <w:t xml:space="preserve">there are legal </w:t>
      </w:r>
      <w:r w:rsidR="46DDBDAF" w:rsidRPr="00F8177B">
        <w:t>constraint</w:t>
      </w:r>
      <w:r w:rsidR="48A58C4B" w:rsidRPr="00F8177B">
        <w:t xml:space="preserve">s </w:t>
      </w:r>
      <w:r w:rsidRPr="00F8177B">
        <w:t xml:space="preserve">that </w:t>
      </w:r>
      <w:r w:rsidR="48A58C4B" w:rsidRPr="00F8177B">
        <w:t>mu</w:t>
      </w:r>
      <w:r w:rsidR="00F60121" w:rsidRPr="00F8177B">
        <w:t>st</w:t>
      </w:r>
      <w:r w:rsidR="48A58C4B" w:rsidRPr="00F8177B">
        <w:t xml:space="preserve"> be resp</w:t>
      </w:r>
      <w:r w:rsidR="1BAF043E" w:rsidRPr="00F8177B">
        <w:t>ected</w:t>
      </w:r>
      <w:r w:rsidR="788CD5FD" w:rsidRPr="00F8177B">
        <w:t>.</w:t>
      </w:r>
      <w:r w:rsidR="006C3C6D" w:rsidRPr="00F8177B">
        <w:rPr>
          <w:rStyle w:val="FootnoteReference"/>
        </w:rPr>
        <w:footnoteReference w:id="22"/>
      </w:r>
      <w:r w:rsidR="788CD5FD" w:rsidRPr="00F8177B">
        <w:rPr>
          <w:b/>
          <w:bCs/>
        </w:rPr>
        <w:t xml:space="preserve"> </w:t>
      </w:r>
      <w:r w:rsidR="00F82881" w:rsidRPr="00F8177B">
        <w:t>W</w:t>
      </w:r>
      <w:r w:rsidR="00397389" w:rsidRPr="00F8177B">
        <w:t xml:space="preserve">hat investors’ duties </w:t>
      </w:r>
      <w:r w:rsidR="01680D3B" w:rsidRPr="00F8177B">
        <w:t>permit</w:t>
      </w:r>
      <w:r w:rsidR="00397389" w:rsidRPr="00F8177B">
        <w:t xml:space="preserve"> with regard to collective action will depend on their circumstances. </w:t>
      </w:r>
      <w:r w:rsidR="00633413" w:rsidRPr="00F8177B">
        <w:t>Some large investors may be in a position to catalyse wider collective action because of the way their portfolio is exposed to sustainability risk</w:t>
      </w:r>
      <w:r w:rsidR="009643E4" w:rsidRPr="00F8177B">
        <w:t>s, the resources at their disposal,</w:t>
      </w:r>
      <w:r w:rsidR="00233C1A" w:rsidRPr="00F8177B">
        <w:t xml:space="preserve"> and</w:t>
      </w:r>
      <w:r w:rsidR="00633413" w:rsidRPr="00F8177B">
        <w:t xml:space="preserve"> the broader influence</w:t>
      </w:r>
      <w:r w:rsidR="00233C1A" w:rsidRPr="00F8177B">
        <w:t xml:space="preserve"> they w</w:t>
      </w:r>
      <w:r w:rsidR="009643E4" w:rsidRPr="00F8177B">
        <w:t>ield</w:t>
      </w:r>
      <w:r w:rsidR="00633413" w:rsidRPr="00F8177B">
        <w:t xml:space="preserve">. </w:t>
      </w:r>
      <w:r w:rsidR="538F600E" w:rsidRPr="00F8177B">
        <w:t>S</w:t>
      </w:r>
      <w:r w:rsidR="00633413" w:rsidRPr="00F8177B">
        <w:t xml:space="preserve">maller investors may </w:t>
      </w:r>
      <w:r w:rsidR="00E56F44" w:rsidRPr="00F8177B">
        <w:t>find</w:t>
      </w:r>
      <w:r w:rsidR="4DACFBCC" w:rsidRPr="00F8177B">
        <w:t xml:space="preserve"> that joining</w:t>
      </w:r>
      <w:r w:rsidR="00633413" w:rsidRPr="00F8177B">
        <w:t xml:space="preserve"> </w:t>
      </w:r>
      <w:r w:rsidR="32AF046A" w:rsidRPr="00F8177B">
        <w:t xml:space="preserve">established collaborative initiatives </w:t>
      </w:r>
      <w:r w:rsidR="081549B0" w:rsidRPr="00F8177B">
        <w:t>i</w:t>
      </w:r>
      <w:r w:rsidR="32AF046A" w:rsidRPr="00F8177B">
        <w:t xml:space="preserve">s </w:t>
      </w:r>
      <w:r w:rsidR="00633413" w:rsidRPr="00F8177B">
        <w:t>a cost-effective way to serve beneficiaries whose interests may be threatened by declining sustainability</w:t>
      </w:r>
      <w:r w:rsidR="00397389" w:rsidRPr="00F8177B">
        <w:t xml:space="preserve">. </w:t>
      </w:r>
    </w:p>
    <w:p w14:paraId="13CA6E6B" w14:textId="1E1B8DD2" w:rsidR="000E6D89" w:rsidRPr="00F8177B" w:rsidRDefault="001F06FA" w:rsidP="000F2F1A">
      <w:pPr>
        <w:pStyle w:val="Heading2"/>
        <w:rPr>
          <w:rStyle w:val="normaltextrun"/>
        </w:rPr>
      </w:pPr>
      <w:bookmarkStart w:id="22" w:name="_Toc172287044"/>
      <w:r w:rsidRPr="00F8177B">
        <w:rPr>
          <w:rStyle w:val="normaltextrun"/>
        </w:rPr>
        <w:lastRenderedPageBreak/>
        <w:t xml:space="preserve">Policy or regulatory </w:t>
      </w:r>
      <w:r w:rsidR="003050FB" w:rsidRPr="00F8177B">
        <w:rPr>
          <w:rStyle w:val="normaltextrun"/>
        </w:rPr>
        <w:t xml:space="preserve">Barriers to </w:t>
      </w:r>
      <w:r w:rsidR="00D73C04" w:rsidRPr="00F8177B">
        <w:rPr>
          <w:rStyle w:val="normaltextrun"/>
        </w:rPr>
        <w:t>investor collaboration</w:t>
      </w:r>
      <w:bookmarkEnd w:id="22"/>
    </w:p>
    <w:p w14:paraId="293B6E80" w14:textId="6F8B73E4" w:rsidR="0039462E" w:rsidRPr="00F8177B" w:rsidRDefault="007C72D9" w:rsidP="001813F4">
      <w:pPr>
        <w:rPr>
          <w:shd w:val="clear" w:color="auto" w:fill="FFFFFF"/>
        </w:rPr>
      </w:pPr>
      <w:r w:rsidRPr="00F8177B">
        <w:t xml:space="preserve">Our research on regulations relevant to investor collaboration in four markets (the UK, Germany, South Africa and the US) </w:t>
      </w:r>
      <w:r w:rsidR="00E02896" w:rsidRPr="00F8177B">
        <w:rPr>
          <w:shd w:val="clear" w:color="auto" w:fill="FFFFFF"/>
        </w:rPr>
        <w:t>echoes</w:t>
      </w:r>
      <w:r w:rsidR="0039462E" w:rsidRPr="00F8177B">
        <w:rPr>
          <w:shd w:val="clear" w:color="auto" w:fill="FFFFFF"/>
        </w:rPr>
        <w:t xml:space="preserve"> the findings of the Legal Framework for Impact research</w:t>
      </w:r>
      <w:r w:rsidR="00CB3154" w:rsidRPr="00F8177B">
        <w:rPr>
          <w:shd w:val="clear" w:color="auto" w:fill="FFFFFF"/>
        </w:rPr>
        <w:t>.</w:t>
      </w:r>
      <w:r w:rsidR="0039462E" w:rsidRPr="00F8177B">
        <w:rPr>
          <w:shd w:val="clear" w:color="auto" w:fill="FFFFFF"/>
        </w:rPr>
        <w:t xml:space="preserve"> </w:t>
      </w:r>
      <w:r w:rsidR="007F2B87" w:rsidRPr="00F8177B">
        <w:rPr>
          <w:shd w:val="clear" w:color="auto" w:fill="FFFFFF"/>
        </w:rPr>
        <w:t>W</w:t>
      </w:r>
      <w:r w:rsidR="00176D71" w:rsidRPr="00F8177B">
        <w:rPr>
          <w:shd w:val="clear" w:color="auto" w:fill="FFFFFF"/>
        </w:rPr>
        <w:t>hile</w:t>
      </w:r>
      <w:r w:rsidR="006E0C5A" w:rsidRPr="00F8177B">
        <w:rPr>
          <w:shd w:val="clear" w:color="auto" w:fill="FFFFFF"/>
        </w:rPr>
        <w:t xml:space="preserve"> </w:t>
      </w:r>
      <w:r w:rsidR="00554BA9" w:rsidRPr="00F8177B">
        <w:rPr>
          <w:shd w:val="clear" w:color="auto" w:fill="FFFFFF"/>
        </w:rPr>
        <w:t>there are limits to collaborative activities,</w:t>
      </w:r>
      <w:r w:rsidR="0039462E" w:rsidRPr="00F8177B">
        <w:rPr>
          <w:shd w:val="clear" w:color="auto" w:fill="FFFFFF"/>
        </w:rPr>
        <w:t xml:space="preserve"> </w:t>
      </w:r>
      <w:r w:rsidR="008552F0" w:rsidRPr="00F8177B">
        <w:rPr>
          <w:shd w:val="clear" w:color="auto" w:fill="FFFFFF"/>
        </w:rPr>
        <w:t xml:space="preserve">the findings show that </w:t>
      </w:r>
      <w:r w:rsidR="0039462E" w:rsidRPr="00F8177B">
        <w:rPr>
          <w:shd w:val="clear" w:color="auto" w:fill="FFFFFF"/>
        </w:rPr>
        <w:t xml:space="preserve">regulation should generally not be interpreted by institutional investors as preventing pro-competitive </w:t>
      </w:r>
      <w:r w:rsidR="00F85788" w:rsidRPr="00F8177B">
        <w:rPr>
          <w:shd w:val="clear" w:color="auto" w:fill="FFFFFF"/>
        </w:rPr>
        <w:t xml:space="preserve">investor collaboration </w:t>
      </w:r>
      <w:r w:rsidR="0039462E" w:rsidRPr="00F8177B">
        <w:rPr>
          <w:shd w:val="clear" w:color="auto" w:fill="FFFFFF"/>
        </w:rPr>
        <w:t>on ESG issues</w:t>
      </w:r>
      <w:r w:rsidR="00E02896" w:rsidRPr="00F8177B">
        <w:rPr>
          <w:shd w:val="clear" w:color="auto" w:fill="FFFFFF"/>
        </w:rPr>
        <w:t>,</w:t>
      </w:r>
      <w:r w:rsidR="51CFCD90" w:rsidRPr="00F8177B">
        <w:rPr>
          <w:shd w:val="clear" w:color="auto" w:fill="FFFFFF"/>
        </w:rPr>
        <w:t xml:space="preserve"> including </w:t>
      </w:r>
      <w:r w:rsidR="00DA6416" w:rsidRPr="00F8177B">
        <w:rPr>
          <w:shd w:val="clear" w:color="auto" w:fill="FFFFFF"/>
        </w:rPr>
        <w:t>system-level</w:t>
      </w:r>
      <w:r w:rsidR="51CFCD90" w:rsidRPr="00F8177B">
        <w:rPr>
          <w:shd w:val="clear" w:color="auto" w:fill="FFFFFF"/>
        </w:rPr>
        <w:t xml:space="preserve"> issues affected by investment outcomes</w:t>
      </w:r>
      <w:r w:rsidR="00554BA9" w:rsidRPr="00F8177B">
        <w:rPr>
          <w:shd w:val="clear" w:color="auto" w:fill="FFFFFF"/>
        </w:rPr>
        <w:t xml:space="preserve">. </w:t>
      </w:r>
      <w:r w:rsidR="00396805" w:rsidRPr="00F8177B">
        <w:rPr>
          <w:shd w:val="clear" w:color="auto" w:fill="FFFFFF"/>
        </w:rPr>
        <w:t>In fact, it seems that the regulatory environment in the markets covered gives more room for investors to collaborate on engagement activities than is currently practised.</w:t>
      </w:r>
    </w:p>
    <w:p w14:paraId="00510129" w14:textId="0458D345" w:rsidR="009D24C6" w:rsidRPr="00F8177B" w:rsidRDefault="000574B9" w:rsidP="000F2F1A">
      <w:pPr>
        <w:rPr>
          <w:rStyle w:val="normaltextrun"/>
        </w:rPr>
      </w:pPr>
      <w:r w:rsidRPr="00F8177B">
        <w:rPr>
          <w:rStyle w:val="normaltextrun"/>
        </w:rPr>
        <w:t>However,</w:t>
      </w:r>
      <w:r w:rsidR="006F1B3E" w:rsidRPr="00F8177B">
        <w:rPr>
          <w:rStyle w:val="normaltextrun"/>
        </w:rPr>
        <w:t xml:space="preserve"> </w:t>
      </w:r>
      <w:r w:rsidR="00DD565E" w:rsidRPr="00F8177B">
        <w:t xml:space="preserve">some investors </w:t>
      </w:r>
      <w:r w:rsidR="00E02896" w:rsidRPr="00F8177B">
        <w:t xml:space="preserve">are undecided about </w:t>
      </w:r>
      <w:r w:rsidR="00DD565E" w:rsidRPr="00F8177B">
        <w:t xml:space="preserve">engaging in such action due to a perceived risk of </w:t>
      </w:r>
      <w:r w:rsidR="00E02896" w:rsidRPr="00F8177B">
        <w:t xml:space="preserve">competition scrutiny or </w:t>
      </w:r>
      <w:r w:rsidR="00DD565E" w:rsidRPr="00F8177B">
        <w:t xml:space="preserve">triggering </w:t>
      </w:r>
      <w:r w:rsidR="00374F98" w:rsidRPr="00F8177B">
        <w:t>acting in concert</w:t>
      </w:r>
      <w:r w:rsidR="00DD565E" w:rsidRPr="00F8177B">
        <w:t xml:space="preserve">. </w:t>
      </w:r>
      <w:r w:rsidR="00DD565E" w:rsidRPr="00F8177B">
        <w:rPr>
          <w:rStyle w:val="normaltextrun"/>
        </w:rPr>
        <w:t>O</w:t>
      </w:r>
      <w:r w:rsidR="00BF5341" w:rsidRPr="00F8177B">
        <w:rPr>
          <w:rStyle w:val="normaltextrun"/>
        </w:rPr>
        <w:t xml:space="preserve">ur findings </w:t>
      </w:r>
      <w:r w:rsidR="61B027A3" w:rsidRPr="00F8177B">
        <w:rPr>
          <w:rStyle w:val="normaltextrun"/>
        </w:rPr>
        <w:t xml:space="preserve">do </w:t>
      </w:r>
      <w:r w:rsidR="00BF5341" w:rsidRPr="00F8177B">
        <w:rPr>
          <w:rStyle w:val="normaltextrun"/>
        </w:rPr>
        <w:t xml:space="preserve">suggest that existing </w:t>
      </w:r>
      <w:r w:rsidR="00925838" w:rsidRPr="00F8177B">
        <w:rPr>
          <w:rStyle w:val="normaltextrun"/>
        </w:rPr>
        <w:t>regulatory framework</w:t>
      </w:r>
      <w:r w:rsidR="0003681B" w:rsidRPr="00F8177B">
        <w:rPr>
          <w:rStyle w:val="normaltextrun"/>
        </w:rPr>
        <w:t>s</w:t>
      </w:r>
      <w:r w:rsidR="00925838" w:rsidRPr="00F8177B">
        <w:rPr>
          <w:rStyle w:val="normaltextrun"/>
        </w:rPr>
        <w:t xml:space="preserve"> may fall short </w:t>
      </w:r>
      <w:r w:rsidR="00280F12" w:rsidRPr="00F8177B">
        <w:rPr>
          <w:rStyle w:val="normaltextrun"/>
        </w:rPr>
        <w:t xml:space="preserve">of </w:t>
      </w:r>
      <w:r w:rsidR="006C1689" w:rsidRPr="00F8177B">
        <w:rPr>
          <w:rStyle w:val="normaltextrun"/>
        </w:rPr>
        <w:t>providing sufficient clarity and predictability</w:t>
      </w:r>
      <w:r w:rsidR="00063150" w:rsidRPr="00F8177B">
        <w:rPr>
          <w:rStyle w:val="normaltextrun"/>
        </w:rPr>
        <w:t xml:space="preserve"> to guide</w:t>
      </w:r>
      <w:r w:rsidR="00634C91" w:rsidRPr="00F8177B">
        <w:rPr>
          <w:rStyle w:val="normaltextrun"/>
        </w:rPr>
        <w:t xml:space="preserve"> good practices </w:t>
      </w:r>
      <w:r w:rsidR="00C94E03" w:rsidRPr="00F8177B">
        <w:rPr>
          <w:rStyle w:val="normaltextrun"/>
        </w:rPr>
        <w:t>for</w:t>
      </w:r>
      <w:r w:rsidR="00063150" w:rsidRPr="00F8177B">
        <w:rPr>
          <w:rStyle w:val="normaltextrun"/>
        </w:rPr>
        <w:t xml:space="preserve"> </w:t>
      </w:r>
      <w:r w:rsidR="00C76E94" w:rsidRPr="00F8177B">
        <w:rPr>
          <w:rStyle w:val="normaltextrun"/>
        </w:rPr>
        <w:t>investor collaboration</w:t>
      </w:r>
      <w:r w:rsidR="41029A3C" w:rsidRPr="00F8177B">
        <w:rPr>
          <w:rStyle w:val="normaltextrun"/>
        </w:rPr>
        <w:t xml:space="preserve"> under acting in concert rules and possibly under </w:t>
      </w:r>
      <w:r w:rsidR="00374F98" w:rsidRPr="00F8177B">
        <w:rPr>
          <w:rStyle w:val="normaltextrun"/>
        </w:rPr>
        <w:t>competition</w:t>
      </w:r>
      <w:r w:rsidR="41029A3C" w:rsidRPr="00F8177B">
        <w:rPr>
          <w:rStyle w:val="normaltextrun"/>
        </w:rPr>
        <w:t xml:space="preserve"> law as well</w:t>
      </w:r>
      <w:r w:rsidR="00634C91" w:rsidRPr="00F8177B">
        <w:rPr>
          <w:rStyle w:val="normaltextrun"/>
        </w:rPr>
        <w:t>.</w:t>
      </w:r>
      <w:r w:rsidR="00AA3763" w:rsidRPr="00F8177B">
        <w:rPr>
          <w:rStyle w:val="normaltextrun"/>
        </w:rPr>
        <w:t xml:space="preserve"> </w:t>
      </w:r>
    </w:p>
    <w:p w14:paraId="413B9380" w14:textId="326D94D9" w:rsidR="003C7712" w:rsidRPr="00F8177B" w:rsidRDefault="00AD524B" w:rsidP="000F2F1A">
      <w:r w:rsidRPr="00F8177B">
        <w:t>Acting in concert rules</w:t>
      </w:r>
      <w:r w:rsidR="00CC0226" w:rsidRPr="00F8177B">
        <w:rPr>
          <w:shd w:val="clear" w:color="auto" w:fill="FFFFFF"/>
        </w:rPr>
        <w:t xml:space="preserve"> and competition rules</w:t>
      </w:r>
      <w:r w:rsidR="00AB382D" w:rsidRPr="00F8177B">
        <w:rPr>
          <w:shd w:val="clear" w:color="auto" w:fill="FFFFFF"/>
        </w:rPr>
        <w:t xml:space="preserve"> </w:t>
      </w:r>
      <w:r w:rsidR="003126DC" w:rsidRPr="00F8177B">
        <w:t>may be potentially</w:t>
      </w:r>
      <w:r w:rsidR="00AB382D" w:rsidRPr="00F8177B">
        <w:rPr>
          <w:shd w:val="clear" w:color="auto" w:fill="FFFFFF"/>
        </w:rPr>
        <w:t xml:space="preserve"> relevant to investor</w:t>
      </w:r>
      <w:r w:rsidR="2CE651B8" w:rsidRPr="00F8177B">
        <w:t>s</w:t>
      </w:r>
      <w:r w:rsidR="00E02896" w:rsidRPr="00F8177B">
        <w:t>’</w:t>
      </w:r>
      <w:r w:rsidR="00AB382D" w:rsidRPr="00F8177B">
        <w:rPr>
          <w:shd w:val="clear" w:color="auto" w:fill="FFFFFF"/>
        </w:rPr>
        <w:t xml:space="preserve"> collabor</w:t>
      </w:r>
      <w:r w:rsidR="00711CF1" w:rsidRPr="00F8177B">
        <w:rPr>
          <w:shd w:val="clear" w:color="auto" w:fill="FFFFFF"/>
        </w:rPr>
        <w:t>ati</w:t>
      </w:r>
      <w:r w:rsidR="003126DC" w:rsidRPr="00F8177B">
        <w:t>on</w:t>
      </w:r>
      <w:r w:rsidR="00CC0226" w:rsidRPr="00F8177B">
        <w:rPr>
          <w:shd w:val="clear" w:color="auto" w:fill="FFFFFF"/>
        </w:rPr>
        <w:t xml:space="preserve">. </w:t>
      </w:r>
      <w:r w:rsidR="008C5DC3" w:rsidRPr="00F8177B">
        <w:rPr>
          <w:shd w:val="clear" w:color="auto" w:fill="FFFFFF"/>
        </w:rPr>
        <w:t xml:space="preserve">Acting in concert rules under securities and corporate law typically aim at safeguarding shareholder rights and good corporate governance by promoting transparency around shareholding and shareholder controls. These rules come into play in situations </w:t>
      </w:r>
      <w:r w:rsidR="00E02896" w:rsidRPr="00F8177B">
        <w:rPr>
          <w:shd w:val="clear" w:color="auto" w:fill="FFFFFF"/>
        </w:rPr>
        <w:t xml:space="preserve">in which </w:t>
      </w:r>
      <w:r w:rsidR="008C5DC3" w:rsidRPr="00F8177B">
        <w:rPr>
          <w:shd w:val="clear" w:color="auto" w:fill="FFFFFF"/>
        </w:rPr>
        <w:t xml:space="preserve">concerted action might affect company controls. </w:t>
      </w:r>
      <w:r w:rsidR="00F36D2E" w:rsidRPr="00F8177B">
        <w:rPr>
          <w:shd w:val="clear" w:color="auto" w:fill="FFFFFF"/>
        </w:rPr>
        <w:t xml:space="preserve">Concerns related to antitrust and competition law arise mainly in cases </w:t>
      </w:r>
      <w:r w:rsidR="00E02896" w:rsidRPr="00F8177B">
        <w:rPr>
          <w:shd w:val="clear" w:color="auto" w:fill="FFFFFF"/>
        </w:rPr>
        <w:t xml:space="preserve">in which </w:t>
      </w:r>
      <w:r w:rsidR="00F36D2E" w:rsidRPr="00F8177B">
        <w:rPr>
          <w:shd w:val="clear" w:color="auto" w:fill="FFFFFF"/>
        </w:rPr>
        <w:t>investors might inappropriately share or discuss strategic or competitively sensitive information, or through the potential anticompetitive effects of investor behaviour, particularly where they hold shares in competing firms within a concentrated industry.</w:t>
      </w:r>
    </w:p>
    <w:p w14:paraId="262CEB38" w14:textId="27BCAD35" w:rsidR="008D325D" w:rsidRPr="00F8177B" w:rsidRDefault="17FE73AC" w:rsidP="000F2F1A">
      <w:pPr>
        <w:rPr>
          <w:rStyle w:val="normaltextrun"/>
        </w:rPr>
      </w:pPr>
      <w:r w:rsidRPr="00F8177B">
        <w:t>Importantly most of these rules were set up before systemic risks were recognised as an issue that required stakeholders to act at their level</w:t>
      </w:r>
      <w:r w:rsidR="00E02896" w:rsidRPr="00F8177B">
        <w:t>,</w:t>
      </w:r>
      <w:r w:rsidRPr="00F8177B">
        <w:t xml:space="preserve"> and before governments had committed to global sustainability goals to align financial flows with them. As such, it is now necessary for regulators and lawmakers to ensure these rules are updated to be sufficiently clear when</w:t>
      </w:r>
      <w:r w:rsidRPr="00F8177B">
        <w:rPr>
          <w:rStyle w:val="normaltextrun"/>
        </w:rPr>
        <w:t xml:space="preserve"> such collaboration will trigger regulatory requirements or exemptions under securities law, corporate law and competition law</w:t>
      </w:r>
      <w:r w:rsidR="00E02896" w:rsidRPr="00F8177B">
        <w:rPr>
          <w:rStyle w:val="normaltextrun"/>
        </w:rPr>
        <w:t>,</w:t>
      </w:r>
      <w:r w:rsidRPr="00F8177B">
        <w:rPr>
          <w:rStyle w:val="normaltextrun"/>
        </w:rPr>
        <w:t xml:space="preserve"> and to what extent sustainability outcomes can be considered under the existing legal framework. </w:t>
      </w:r>
    </w:p>
    <w:p w14:paraId="6F667EC0" w14:textId="1EA69205" w:rsidR="00674ED0" w:rsidRPr="00F8177B" w:rsidRDefault="00230864" w:rsidP="000F2F1A">
      <w:pPr>
        <w:rPr>
          <w:rStyle w:val="normaltextrun"/>
        </w:rPr>
      </w:pPr>
      <w:r w:rsidRPr="00F8177B">
        <w:t xml:space="preserve">In addition, </w:t>
      </w:r>
      <w:r w:rsidR="008F0C8A" w:rsidRPr="00F8177B">
        <w:t xml:space="preserve">without clarifying how competition laws or acting in concert rules will apply, </w:t>
      </w:r>
      <w:r w:rsidRPr="00F8177B">
        <w:t xml:space="preserve">even encouragement by regulators or government bodies for </w:t>
      </w:r>
      <w:r w:rsidR="007D26BB" w:rsidRPr="00F8177B">
        <w:t>investor</w:t>
      </w:r>
      <w:r w:rsidR="00A37DF0" w:rsidRPr="00F8177B">
        <w:t>s</w:t>
      </w:r>
      <w:r w:rsidR="008F0C8A" w:rsidRPr="00F8177B">
        <w:t xml:space="preserve"> to engage in</w:t>
      </w:r>
      <w:r w:rsidR="007D26BB" w:rsidRPr="00F8177B">
        <w:t xml:space="preserve"> </w:t>
      </w:r>
      <w:r w:rsidR="00B167BF" w:rsidRPr="00F8177B">
        <w:t>collaboration</w:t>
      </w:r>
      <w:r w:rsidR="008F0C8A" w:rsidRPr="00F8177B">
        <w:t>s</w:t>
      </w:r>
      <w:r w:rsidRPr="00F8177B">
        <w:t xml:space="preserve"> will not necessarily shield </w:t>
      </w:r>
      <w:r w:rsidR="00E02896" w:rsidRPr="00F8177B">
        <w:t xml:space="preserve">them </w:t>
      </w:r>
      <w:r w:rsidRPr="00F8177B">
        <w:t xml:space="preserve">from competition law scrutiny, or from private competition actions brought by companies whose businesses are impacted by collaboration between </w:t>
      </w:r>
      <w:r w:rsidR="00D47774" w:rsidRPr="00F8177B">
        <w:t>a</w:t>
      </w:r>
      <w:r w:rsidRPr="00F8177B">
        <w:t xml:space="preserve">sset </w:t>
      </w:r>
      <w:r w:rsidR="00D47774" w:rsidRPr="00F8177B">
        <w:t>o</w:t>
      </w:r>
      <w:r w:rsidRPr="00F8177B">
        <w:t xml:space="preserve">wners and/or investment managers with a view to improved sustainability outcomes. </w:t>
      </w:r>
    </w:p>
    <w:p w14:paraId="26C9A0BE" w14:textId="44D56E75" w:rsidR="00C37165" w:rsidRPr="00F8177B" w:rsidRDefault="00C37165" w:rsidP="000F2F1A">
      <w:r w:rsidRPr="00F8177B">
        <w:t xml:space="preserve">As a result of this uncertainty, there remains a perceived risk that certain collaborative stewardship activities may trigger </w:t>
      </w:r>
      <w:r w:rsidR="0027492B" w:rsidRPr="00F8177B">
        <w:t>acting in concert or competition regulations</w:t>
      </w:r>
      <w:r w:rsidRPr="00F8177B">
        <w:t xml:space="preserve">. This is particularly the case for larger investors that may trigger </w:t>
      </w:r>
      <w:r w:rsidR="0027492B" w:rsidRPr="00F8177B">
        <w:t xml:space="preserve">such provisions </w:t>
      </w:r>
      <w:r w:rsidRPr="00F8177B">
        <w:t>due to the size of their funds.</w:t>
      </w:r>
    </w:p>
    <w:p w14:paraId="338652BC" w14:textId="279B2DB9" w:rsidR="45F34720" w:rsidRPr="00F8177B" w:rsidRDefault="00C52FD2" w:rsidP="000F2F1A">
      <w:r w:rsidRPr="00F8177B">
        <w:t>Investors also noted that the uncertainty prevents internal legal functions from developing a clear internal interpretation</w:t>
      </w:r>
      <w:r w:rsidR="008A02B1" w:rsidRPr="00F8177B">
        <w:t xml:space="preserve"> of those rules</w:t>
      </w:r>
      <w:r w:rsidRPr="00F8177B">
        <w:t>, contributing toward the perception of this risk arising and disincentivising collaborative action.</w:t>
      </w:r>
      <w:r w:rsidR="00B11F3C" w:rsidRPr="00F8177B">
        <w:t xml:space="preserve"> </w:t>
      </w:r>
      <w:r w:rsidR="17FE73AC" w:rsidRPr="00F8177B">
        <w:t xml:space="preserve">Such concerns have impacted various net zero alliances aimed at supporting climate action, </w:t>
      </w:r>
      <w:r w:rsidR="00721950" w:rsidRPr="00F8177B">
        <w:t xml:space="preserve">in which </w:t>
      </w:r>
      <w:r w:rsidR="17FE73AC" w:rsidRPr="00F8177B">
        <w:t>antitrust concerns, though unfounded, have been cited. </w:t>
      </w:r>
      <w:r w:rsidR="25CF4717" w:rsidRPr="00F8177B">
        <w:t>Additional guidance is required from competition authorities to explain in more detail their attitude to investor collaboration to address sustainability risks and how sustainability outcomes can be quantified and assessed within the existing horizontal collaboration regime.</w:t>
      </w:r>
    </w:p>
    <w:p w14:paraId="52605DE1" w14:textId="03D7752F" w:rsidR="00674ED0" w:rsidRPr="00F8177B" w:rsidRDefault="00721950" w:rsidP="000F2F1A">
      <w:r w:rsidRPr="00F8177B">
        <w:rPr>
          <w:rStyle w:val="normaltextrun"/>
        </w:rPr>
        <w:lastRenderedPageBreak/>
        <w:t>However</w:t>
      </w:r>
      <w:r w:rsidR="00103E65" w:rsidRPr="00F8177B">
        <w:rPr>
          <w:rStyle w:val="normaltextrun"/>
        </w:rPr>
        <w:t>,</w:t>
      </w:r>
      <w:r w:rsidR="00AD6DE2" w:rsidRPr="00F8177B">
        <w:rPr>
          <w:rStyle w:val="normaltextrun"/>
        </w:rPr>
        <w:t xml:space="preserve"> many </w:t>
      </w:r>
      <w:r w:rsidR="003508F9" w:rsidRPr="00F8177B">
        <w:rPr>
          <w:rStyle w:val="normaltextrun"/>
        </w:rPr>
        <w:t>law academics and lawyers have</w:t>
      </w:r>
      <w:r w:rsidR="0020296B" w:rsidRPr="00F8177B">
        <w:rPr>
          <w:rStyle w:val="normaltextrun"/>
        </w:rPr>
        <w:t xml:space="preserve"> </w:t>
      </w:r>
      <w:r w:rsidR="000E208D" w:rsidRPr="00F8177B">
        <w:rPr>
          <w:rStyle w:val="normaltextrun"/>
        </w:rPr>
        <w:t>unequivocally</w:t>
      </w:r>
      <w:r w:rsidR="003508F9" w:rsidRPr="00F8177B">
        <w:rPr>
          <w:rStyle w:val="normaltextrun"/>
        </w:rPr>
        <w:t xml:space="preserve"> </w:t>
      </w:r>
      <w:r w:rsidR="0020296B" w:rsidRPr="00F8177B">
        <w:rPr>
          <w:rStyle w:val="normaltextrun"/>
        </w:rPr>
        <w:t>argued that</w:t>
      </w:r>
      <w:r w:rsidR="00103E65" w:rsidRPr="00F8177B">
        <w:rPr>
          <w:rStyle w:val="normaltextrun"/>
        </w:rPr>
        <w:t xml:space="preserve"> there remain a wide range of collaborative actions </w:t>
      </w:r>
      <w:r w:rsidR="00CB1BA3" w:rsidRPr="00F8177B">
        <w:rPr>
          <w:rStyle w:val="normaltextrun"/>
        </w:rPr>
        <w:t>that relevant investors may take.</w:t>
      </w:r>
      <w:r w:rsidR="000E208D" w:rsidRPr="00F8177B">
        <w:rPr>
          <w:rStyle w:val="FootnoteReference"/>
        </w:rPr>
        <w:footnoteReference w:id="23"/>
      </w:r>
      <w:r w:rsidR="00CB1BA3" w:rsidRPr="00F8177B">
        <w:rPr>
          <w:rStyle w:val="normaltextrun"/>
        </w:rPr>
        <w:t xml:space="preserve"> </w:t>
      </w:r>
      <w:r w:rsidR="007B082A" w:rsidRPr="00F8177B">
        <w:rPr>
          <w:rStyle w:val="normaltextrun"/>
        </w:rPr>
        <w:t>The PRI’s research on regulations</w:t>
      </w:r>
      <w:r w:rsidR="007B082A" w:rsidRPr="00F8177B">
        <w:t xml:space="preserve"> relevant to investor collaboration in four markets (the UK, Germany, South Africa and the US)</w:t>
      </w:r>
      <w:r w:rsidR="0031489E" w:rsidRPr="00F8177B">
        <w:rPr>
          <w:rStyle w:val="normaltextrun"/>
        </w:rPr>
        <w:t xml:space="preserve"> aimed </w:t>
      </w:r>
      <w:r w:rsidR="004659DE" w:rsidRPr="00F8177B">
        <w:t>to help investors understand behaviours that are likely</w:t>
      </w:r>
      <w:r w:rsidRPr="00F8177B">
        <w:t xml:space="preserve"> to be</w:t>
      </w:r>
      <w:r w:rsidR="004659DE" w:rsidRPr="00F8177B">
        <w:t xml:space="preserve"> acceptable as part of collaborative engagement</w:t>
      </w:r>
      <w:r w:rsidR="00597FC8" w:rsidRPr="00F8177B">
        <w:t xml:space="preserve"> and take </w:t>
      </w:r>
      <w:r w:rsidR="00C14DF4" w:rsidRPr="00F8177B">
        <w:t>reasonable precautions to manage potential risks</w:t>
      </w:r>
      <w:r w:rsidR="004659DE" w:rsidRPr="00F8177B">
        <w:t xml:space="preserve">. </w:t>
      </w:r>
    </w:p>
    <w:p w14:paraId="760998B0" w14:textId="63D4C16A" w:rsidR="001A733F" w:rsidRPr="00F8177B" w:rsidRDefault="001B67A4" w:rsidP="000F2F1A">
      <w:r w:rsidRPr="00F8177B">
        <w:rPr>
          <w:noProof/>
        </w:rPr>
        <mc:AlternateContent>
          <mc:Choice Requires="wps">
            <w:drawing>
              <wp:anchor distT="0" distB="0" distL="114300" distR="114300" simplePos="0" relativeHeight="251658248" behindDoc="1" locked="0" layoutInCell="1" allowOverlap="1" wp14:anchorId="58A9074C" wp14:editId="6789DA0E">
                <wp:simplePos x="0" y="0"/>
                <wp:positionH relativeFrom="page">
                  <wp:posOffset>914400</wp:posOffset>
                </wp:positionH>
                <wp:positionV relativeFrom="paragraph">
                  <wp:posOffset>252730</wp:posOffset>
                </wp:positionV>
                <wp:extent cx="5767070" cy="3452495"/>
                <wp:effectExtent l="0" t="0" r="24130" b="14605"/>
                <wp:wrapTight wrapText="bothSides">
                  <wp:wrapPolygon edited="0">
                    <wp:start x="0" y="0"/>
                    <wp:lineTo x="0" y="21572"/>
                    <wp:lineTo x="21619" y="21572"/>
                    <wp:lineTo x="21619" y="0"/>
                    <wp:lineTo x="0" y="0"/>
                  </wp:wrapPolygon>
                </wp:wrapTight>
                <wp:docPr id="689270414" name="Text Box 689270414"/>
                <wp:cNvGraphicFramePr/>
                <a:graphic xmlns:a="http://schemas.openxmlformats.org/drawingml/2006/main">
                  <a:graphicData uri="http://schemas.microsoft.com/office/word/2010/wordprocessingShape">
                    <wps:wsp>
                      <wps:cNvSpPr txBox="1"/>
                      <wps:spPr>
                        <a:xfrm>
                          <a:off x="0" y="0"/>
                          <a:ext cx="5767070" cy="3452495"/>
                        </a:xfrm>
                        <a:prstGeom prst="rect">
                          <a:avLst/>
                        </a:prstGeom>
                        <a:solidFill>
                          <a:srgbClr val="5B9BD5">
                            <a:lumMod val="20000"/>
                            <a:lumOff val="80000"/>
                          </a:srgbClr>
                        </a:solidFill>
                        <a:ln w="6350">
                          <a:solidFill>
                            <a:srgbClr val="5B9BD5"/>
                          </a:solidFill>
                        </a:ln>
                      </wps:spPr>
                      <wps:txbx>
                        <w:txbxContent>
                          <w:p w14:paraId="668816D8" w14:textId="7621FC3C" w:rsidR="001B67A4" w:rsidRPr="001B67A4" w:rsidRDefault="001B67A4" w:rsidP="000F2F1A">
                            <w:pPr>
                              <w:rPr>
                                <w:rStyle w:val="normaltextrun"/>
                                <w:sz w:val="18"/>
                                <w:szCs w:val="18"/>
                              </w:rPr>
                            </w:pPr>
                            <w:r w:rsidRPr="001B67A4">
                              <w:t xml:space="preserve">Box 2: </w:t>
                            </w:r>
                            <w:r w:rsidRPr="001B67A4">
                              <w:rPr>
                                <w:rStyle w:val="normaltextrun"/>
                                <w:b/>
                                <w:bCs/>
                                <w:sz w:val="18"/>
                                <w:szCs w:val="18"/>
                              </w:rPr>
                              <w:t xml:space="preserve">Confusion over the ill-defined concept of </w:t>
                            </w:r>
                            <w:r w:rsidR="006461AE">
                              <w:rPr>
                                <w:rStyle w:val="normaltextrun"/>
                                <w:b/>
                                <w:bCs/>
                                <w:sz w:val="18"/>
                                <w:szCs w:val="18"/>
                              </w:rPr>
                              <w:t>‘</w:t>
                            </w:r>
                            <w:r w:rsidRPr="001B67A4">
                              <w:rPr>
                                <w:rStyle w:val="normaltextrun"/>
                                <w:b/>
                                <w:bCs/>
                                <w:sz w:val="18"/>
                                <w:szCs w:val="18"/>
                              </w:rPr>
                              <w:t>acting in concert</w:t>
                            </w:r>
                            <w:r w:rsidR="006461AE">
                              <w:rPr>
                                <w:rStyle w:val="normaltextrun"/>
                                <w:b/>
                                <w:bCs/>
                                <w:sz w:val="18"/>
                                <w:szCs w:val="18"/>
                              </w:rPr>
                              <w:t>’</w:t>
                            </w:r>
                            <w:r w:rsidRPr="001B67A4">
                              <w:rPr>
                                <w:rStyle w:val="normaltextrun"/>
                                <w:b/>
                                <w:bCs/>
                                <w:sz w:val="18"/>
                                <w:szCs w:val="18"/>
                              </w:rPr>
                              <w:t xml:space="preserve"> </w:t>
                            </w:r>
                          </w:p>
                          <w:p w14:paraId="0DE14F6A" w14:textId="77777777" w:rsidR="001B67A4" w:rsidRPr="001B67A4" w:rsidRDefault="001B67A4" w:rsidP="000F2F1A">
                            <w:r w:rsidRPr="001B67A4">
                              <w:rPr>
                                <w:rStyle w:val="normaltextrun"/>
                                <w:b/>
                                <w:i/>
                                <w:sz w:val="18"/>
                                <w:szCs w:val="18"/>
                              </w:rPr>
                              <w:t>Antitrust and competition law</w:t>
                            </w:r>
                            <w:r w:rsidRPr="001B67A4">
                              <w:t xml:space="preserve"> </w:t>
                            </w:r>
                          </w:p>
                          <w:p w14:paraId="17B03B0D" w14:textId="73D2FF18" w:rsidR="001B67A4" w:rsidRPr="001B67A4" w:rsidRDefault="001B67A4" w:rsidP="000F2F1A">
                            <w:pPr>
                              <w:rPr>
                                <w:rStyle w:val="normaltextrun"/>
                                <w:i/>
                                <w:sz w:val="18"/>
                                <w:szCs w:val="18"/>
                              </w:rPr>
                            </w:pPr>
                            <w:r w:rsidRPr="001B67A4">
                              <w:rPr>
                                <w:rStyle w:val="normaltextrun"/>
                                <w:i/>
                                <w:sz w:val="18"/>
                                <w:szCs w:val="18"/>
                              </w:rPr>
                              <w:t xml:space="preserve">Concerns related to antitrust and competition law arise mainly in cases </w:t>
                            </w:r>
                            <w:r w:rsidR="00721950">
                              <w:rPr>
                                <w:rStyle w:val="normaltextrun"/>
                                <w:i/>
                                <w:sz w:val="18"/>
                                <w:szCs w:val="18"/>
                              </w:rPr>
                              <w:t>in which</w:t>
                            </w:r>
                            <w:r w:rsidR="00721950" w:rsidRPr="001B67A4">
                              <w:rPr>
                                <w:rStyle w:val="normaltextrun"/>
                                <w:i/>
                                <w:sz w:val="18"/>
                                <w:szCs w:val="18"/>
                              </w:rPr>
                              <w:t xml:space="preserve"> </w:t>
                            </w:r>
                            <w:r w:rsidRPr="001B67A4">
                              <w:rPr>
                                <w:rStyle w:val="normaltextrun"/>
                                <w:i/>
                                <w:sz w:val="18"/>
                                <w:szCs w:val="18"/>
                              </w:rPr>
                              <w:t>investors might inappropriately share or discuss strategic or competitively sensitive information or through the potential</w:t>
                            </w:r>
                            <w:r w:rsidR="00721950">
                              <w:rPr>
                                <w:rStyle w:val="normaltextrun"/>
                                <w:i/>
                                <w:sz w:val="18"/>
                                <w:szCs w:val="18"/>
                              </w:rPr>
                              <w:t>ly</w:t>
                            </w:r>
                            <w:r w:rsidRPr="001B67A4">
                              <w:rPr>
                                <w:rStyle w:val="normaltextrun"/>
                                <w:i/>
                                <w:sz w:val="18"/>
                                <w:szCs w:val="18"/>
                              </w:rPr>
                              <w:t xml:space="preserve"> anticompetitive effects of investor behaviour, particularly where they hold shares in competing firms within a concentrated industry. Investors conducting collaborative engagement should consider:</w:t>
                            </w:r>
                          </w:p>
                          <w:p w14:paraId="5ED61546" w14:textId="753456C1" w:rsidR="001B67A4" w:rsidRPr="001B67A4" w:rsidRDefault="001B67A4" w:rsidP="00B11F3C">
                            <w:pPr>
                              <w:pStyle w:val="ListParagraph"/>
                              <w:numPr>
                                <w:ilvl w:val="0"/>
                                <w:numId w:val="25"/>
                              </w:numPr>
                              <w:spacing w:before="120" w:after="120" w:line="288" w:lineRule="auto"/>
                              <w:rPr>
                                <w:rStyle w:val="normaltextrun"/>
                                <w:b/>
                                <w:i/>
                                <w:sz w:val="18"/>
                                <w:szCs w:val="18"/>
                              </w:rPr>
                            </w:pPr>
                            <w:r w:rsidRPr="001B67A4">
                              <w:rPr>
                                <w:rStyle w:val="normaltextrun"/>
                                <w:i/>
                                <w:sz w:val="18"/>
                                <w:szCs w:val="18"/>
                              </w:rPr>
                              <w:t xml:space="preserve">having compliance policies and procedures in place to ensure the proper handling, and prevent the unlawful sharing, of inside information </w:t>
                            </w:r>
                          </w:p>
                          <w:p w14:paraId="55FAF712" w14:textId="4CEAD2F4" w:rsidR="001B67A4" w:rsidRPr="001B67A4" w:rsidRDefault="001B67A4" w:rsidP="00B11F3C">
                            <w:pPr>
                              <w:pStyle w:val="ListParagraph"/>
                              <w:numPr>
                                <w:ilvl w:val="0"/>
                                <w:numId w:val="25"/>
                              </w:numPr>
                              <w:spacing w:before="120" w:after="120" w:line="288" w:lineRule="auto"/>
                              <w:rPr>
                                <w:b/>
                              </w:rPr>
                            </w:pPr>
                            <w:r w:rsidRPr="001B67A4">
                              <w:rPr>
                                <w:rStyle w:val="normaltextrun"/>
                                <w:i/>
                                <w:sz w:val="18"/>
                                <w:szCs w:val="18"/>
                              </w:rPr>
                              <w:t>ensuring that they do not share or discuss strategic or competitively sensitive information about their own organisation with other investors who may be potential or actual competitors</w:t>
                            </w:r>
                          </w:p>
                          <w:p w14:paraId="17E542CF" w14:textId="574DAAF7" w:rsidR="001B67A4" w:rsidRPr="001B67A4" w:rsidRDefault="001B67A4" w:rsidP="00B11F3C">
                            <w:pPr>
                              <w:pStyle w:val="ListParagraph"/>
                              <w:numPr>
                                <w:ilvl w:val="0"/>
                                <w:numId w:val="25"/>
                              </w:numPr>
                              <w:spacing w:before="120" w:after="120" w:line="288" w:lineRule="auto"/>
                              <w:rPr>
                                <w:rStyle w:val="normaltextrun"/>
                                <w:i/>
                                <w:sz w:val="18"/>
                                <w:szCs w:val="18"/>
                              </w:rPr>
                            </w:pPr>
                            <w:r w:rsidRPr="001B67A4">
                              <w:rPr>
                                <w:rStyle w:val="normaltextrun"/>
                                <w:i/>
                                <w:sz w:val="18"/>
                                <w:szCs w:val="18"/>
                              </w:rPr>
                              <w:t xml:space="preserve">ensuring that they do not share or discuss strategic or competitively sensitive information about investee companies either between themselves or with other investee companies </w:t>
                            </w:r>
                          </w:p>
                          <w:p w14:paraId="5140CDCC" w14:textId="382FB6CA" w:rsidR="001B67A4" w:rsidRPr="001B67A4" w:rsidRDefault="001B67A4" w:rsidP="00B11F3C">
                            <w:pPr>
                              <w:pStyle w:val="ListParagraph"/>
                              <w:numPr>
                                <w:ilvl w:val="0"/>
                                <w:numId w:val="25"/>
                              </w:numPr>
                              <w:spacing w:before="120" w:after="120" w:line="288" w:lineRule="auto"/>
                              <w:rPr>
                                <w:rStyle w:val="normaltextrun"/>
                                <w:b/>
                                <w:i/>
                                <w:sz w:val="18"/>
                                <w:szCs w:val="18"/>
                              </w:rPr>
                            </w:pPr>
                            <w:r w:rsidRPr="001B67A4">
                              <w:rPr>
                                <w:rStyle w:val="normaltextrun"/>
                                <w:i/>
                                <w:sz w:val="18"/>
                                <w:szCs w:val="18"/>
                              </w:rPr>
                              <w:t xml:space="preserve">restricting discussions with investee companies to the objectives of the engagement and remaining focused on how the company is managing ESG issues </w:t>
                            </w:r>
                          </w:p>
                          <w:p w14:paraId="02884A62" w14:textId="1C631428" w:rsidR="001B67A4" w:rsidRPr="001B67A4" w:rsidRDefault="001B67A4" w:rsidP="00B11F3C">
                            <w:pPr>
                              <w:pStyle w:val="ListParagraph"/>
                              <w:numPr>
                                <w:ilvl w:val="0"/>
                                <w:numId w:val="25"/>
                              </w:numPr>
                              <w:spacing w:before="120" w:after="120" w:line="288" w:lineRule="auto"/>
                            </w:pPr>
                            <w:r w:rsidRPr="001B67A4">
                              <w:rPr>
                                <w:rStyle w:val="normaltextrun"/>
                                <w:i/>
                                <w:sz w:val="18"/>
                                <w:szCs w:val="18"/>
                              </w:rPr>
                              <w:t>gauging whether engagement objectives, commentary on engagement activities, or company behaviour could constrain competition or encourage anti-competitive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9074C" id="Text Box 689270414" o:spid="_x0000_s1028" type="#_x0000_t202" style="position:absolute;margin-left:1in;margin-top:19.9pt;width:454.1pt;height:271.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" fillcolor="#deebf7" strokecolor="#5b9bd5" strokeweight=".5pt">
                <v:textbox>
                  <w:txbxContent>
                    <w:p w14:paraId="668816D8" w14:textId="7621FC3C" w:rsidR="001B67A4" w:rsidRPr="001B67A4" w:rsidRDefault="001B67A4" w:rsidP="000F2F1A">
                      <w:pPr>
                        <w:rPr>
                          <w:rStyle w:val="normaltextrun"/>
                          <w:sz w:val="18"/>
                          <w:szCs w:val="18"/>
                        </w:rPr>
                      </w:pPr>
                      <w:r w:rsidRPr="001B67A4">
                        <w:t xml:space="preserve">Box 2: </w:t>
                      </w:r>
                      <w:r w:rsidRPr="001B67A4">
                        <w:rPr>
                          <w:rStyle w:val="normaltextrun"/>
                          <w:b/>
                          <w:bCs/>
                          <w:sz w:val="18"/>
                          <w:szCs w:val="18"/>
                        </w:rPr>
                        <w:t xml:space="preserve">Confusion over the ill-defined concept of </w:t>
                      </w:r>
                      <w:r w:rsidR="006461AE">
                        <w:rPr>
                          <w:rStyle w:val="normaltextrun"/>
                          <w:b/>
                          <w:bCs/>
                          <w:sz w:val="18"/>
                          <w:szCs w:val="18"/>
                        </w:rPr>
                        <w:t>‘</w:t>
                      </w:r>
                      <w:r w:rsidRPr="001B67A4">
                        <w:rPr>
                          <w:rStyle w:val="normaltextrun"/>
                          <w:b/>
                          <w:bCs/>
                          <w:sz w:val="18"/>
                          <w:szCs w:val="18"/>
                        </w:rPr>
                        <w:t>acting in concert</w:t>
                      </w:r>
                      <w:r w:rsidR="006461AE">
                        <w:rPr>
                          <w:rStyle w:val="normaltextrun"/>
                          <w:b/>
                          <w:bCs/>
                          <w:sz w:val="18"/>
                          <w:szCs w:val="18"/>
                        </w:rPr>
                        <w:t>’</w:t>
                      </w:r>
                      <w:r w:rsidRPr="001B67A4">
                        <w:rPr>
                          <w:rStyle w:val="normaltextrun"/>
                          <w:b/>
                          <w:bCs/>
                          <w:sz w:val="18"/>
                          <w:szCs w:val="18"/>
                        </w:rPr>
                        <w:t xml:space="preserve"> </w:t>
                      </w:r>
                    </w:p>
                    <w:p w14:paraId="0DE14F6A" w14:textId="77777777" w:rsidR="001B67A4" w:rsidRPr="001B67A4" w:rsidRDefault="001B67A4" w:rsidP="000F2F1A">
                      <w:r w:rsidRPr="001B67A4">
                        <w:rPr>
                          <w:rStyle w:val="normaltextrun"/>
                          <w:b/>
                          <w:i/>
                          <w:sz w:val="18"/>
                          <w:szCs w:val="18"/>
                        </w:rPr>
                        <w:t>Antitrust and competition law</w:t>
                      </w:r>
                      <w:r w:rsidRPr="001B67A4">
                        <w:t xml:space="preserve"> </w:t>
                      </w:r>
                    </w:p>
                    <w:p w14:paraId="17B03B0D" w14:textId="73D2FF18" w:rsidR="001B67A4" w:rsidRPr="001B67A4" w:rsidRDefault="001B67A4" w:rsidP="000F2F1A">
                      <w:pPr>
                        <w:rPr>
                          <w:rStyle w:val="normaltextrun"/>
                          <w:i/>
                          <w:sz w:val="18"/>
                          <w:szCs w:val="18"/>
                        </w:rPr>
                      </w:pPr>
                      <w:r w:rsidRPr="001B67A4">
                        <w:rPr>
                          <w:rStyle w:val="normaltextrun"/>
                          <w:i/>
                          <w:sz w:val="18"/>
                          <w:szCs w:val="18"/>
                        </w:rPr>
                        <w:t xml:space="preserve">Concerns related to antitrust and competition law arise mainly in cases </w:t>
                      </w:r>
                      <w:r w:rsidR="00721950">
                        <w:rPr>
                          <w:rStyle w:val="normaltextrun"/>
                          <w:i/>
                          <w:sz w:val="18"/>
                          <w:szCs w:val="18"/>
                        </w:rPr>
                        <w:t>in which</w:t>
                      </w:r>
                      <w:r w:rsidR="00721950" w:rsidRPr="001B67A4">
                        <w:rPr>
                          <w:rStyle w:val="normaltextrun"/>
                          <w:i/>
                          <w:sz w:val="18"/>
                          <w:szCs w:val="18"/>
                        </w:rPr>
                        <w:t xml:space="preserve"> </w:t>
                      </w:r>
                      <w:r w:rsidRPr="001B67A4">
                        <w:rPr>
                          <w:rStyle w:val="normaltextrun"/>
                          <w:i/>
                          <w:sz w:val="18"/>
                          <w:szCs w:val="18"/>
                        </w:rPr>
                        <w:t>investors might inappropriately share or discuss strategic or competitively sensitive information or through the potential</w:t>
                      </w:r>
                      <w:r w:rsidR="00721950">
                        <w:rPr>
                          <w:rStyle w:val="normaltextrun"/>
                          <w:i/>
                          <w:sz w:val="18"/>
                          <w:szCs w:val="18"/>
                        </w:rPr>
                        <w:t>ly</w:t>
                      </w:r>
                      <w:r w:rsidRPr="001B67A4">
                        <w:rPr>
                          <w:rStyle w:val="normaltextrun"/>
                          <w:i/>
                          <w:sz w:val="18"/>
                          <w:szCs w:val="18"/>
                        </w:rPr>
                        <w:t xml:space="preserve"> anticompetitive effects of investor behaviour, particularly where they hold shares in competing firms within a concentrated industry. Investors conducting collaborative engagement should consider:</w:t>
                      </w:r>
                    </w:p>
                    <w:p w14:paraId="5ED61546" w14:textId="753456C1" w:rsidR="001B67A4" w:rsidRPr="001B67A4" w:rsidRDefault="001B67A4" w:rsidP="00B11F3C">
                      <w:pPr>
                        <w:pStyle w:val="ListParagraph"/>
                        <w:numPr>
                          <w:ilvl w:val="0"/>
                          <w:numId w:val="25"/>
                        </w:numPr>
                        <w:spacing w:before="120" w:after="120" w:line="288" w:lineRule="auto"/>
                        <w:rPr>
                          <w:rStyle w:val="normaltextrun"/>
                          <w:b/>
                          <w:i/>
                          <w:sz w:val="18"/>
                          <w:szCs w:val="18"/>
                        </w:rPr>
                      </w:pPr>
                      <w:r w:rsidRPr="001B67A4">
                        <w:rPr>
                          <w:rStyle w:val="normaltextrun"/>
                          <w:i/>
                          <w:sz w:val="18"/>
                          <w:szCs w:val="18"/>
                        </w:rPr>
                        <w:t xml:space="preserve">having compliance policies and procedures in place to ensure the proper handling, and prevent the unlawful sharing, of inside information </w:t>
                      </w:r>
                    </w:p>
                    <w:p w14:paraId="55FAF712" w14:textId="4CEAD2F4" w:rsidR="001B67A4" w:rsidRPr="001B67A4" w:rsidRDefault="001B67A4" w:rsidP="00B11F3C">
                      <w:pPr>
                        <w:pStyle w:val="ListParagraph"/>
                        <w:numPr>
                          <w:ilvl w:val="0"/>
                          <w:numId w:val="25"/>
                        </w:numPr>
                        <w:spacing w:before="120" w:after="120" w:line="288" w:lineRule="auto"/>
                        <w:rPr>
                          <w:b/>
                        </w:rPr>
                      </w:pPr>
                      <w:r w:rsidRPr="001B67A4">
                        <w:rPr>
                          <w:rStyle w:val="normaltextrun"/>
                          <w:i/>
                          <w:sz w:val="18"/>
                          <w:szCs w:val="18"/>
                        </w:rPr>
                        <w:t>ensuring that they do not share or discuss strategic or competitively sensitive information about their own organisation with other investors who may be potential or actual competitors</w:t>
                      </w:r>
                    </w:p>
                    <w:p w14:paraId="17E542CF" w14:textId="574DAAF7" w:rsidR="001B67A4" w:rsidRPr="001B67A4" w:rsidRDefault="001B67A4" w:rsidP="00B11F3C">
                      <w:pPr>
                        <w:pStyle w:val="ListParagraph"/>
                        <w:numPr>
                          <w:ilvl w:val="0"/>
                          <w:numId w:val="25"/>
                        </w:numPr>
                        <w:spacing w:before="120" w:after="120" w:line="288" w:lineRule="auto"/>
                        <w:rPr>
                          <w:rStyle w:val="normaltextrun"/>
                          <w:i/>
                          <w:sz w:val="18"/>
                          <w:szCs w:val="18"/>
                        </w:rPr>
                      </w:pPr>
                      <w:r w:rsidRPr="001B67A4">
                        <w:rPr>
                          <w:rStyle w:val="normaltextrun"/>
                          <w:i/>
                          <w:sz w:val="18"/>
                          <w:szCs w:val="18"/>
                        </w:rPr>
                        <w:t xml:space="preserve">ensuring that they do not share or discuss strategic or competitively sensitive information about investee companies either between themselves or with other investee companies </w:t>
                      </w:r>
                    </w:p>
                    <w:p w14:paraId="5140CDCC" w14:textId="382FB6CA" w:rsidR="001B67A4" w:rsidRPr="001B67A4" w:rsidRDefault="001B67A4" w:rsidP="00B11F3C">
                      <w:pPr>
                        <w:pStyle w:val="ListParagraph"/>
                        <w:numPr>
                          <w:ilvl w:val="0"/>
                          <w:numId w:val="25"/>
                        </w:numPr>
                        <w:spacing w:before="120" w:after="120" w:line="288" w:lineRule="auto"/>
                        <w:rPr>
                          <w:rStyle w:val="normaltextrun"/>
                          <w:b/>
                          <w:i/>
                          <w:sz w:val="18"/>
                          <w:szCs w:val="18"/>
                        </w:rPr>
                      </w:pPr>
                      <w:r w:rsidRPr="001B67A4">
                        <w:rPr>
                          <w:rStyle w:val="normaltextrun"/>
                          <w:i/>
                          <w:sz w:val="18"/>
                          <w:szCs w:val="18"/>
                        </w:rPr>
                        <w:t xml:space="preserve">restricting discussions with investee companies to the objectives of the engagement and remaining focused on how the company is managing ESG issues </w:t>
                      </w:r>
                    </w:p>
                    <w:p w14:paraId="02884A62" w14:textId="1C631428" w:rsidR="001B67A4" w:rsidRPr="001B67A4" w:rsidRDefault="001B67A4" w:rsidP="00B11F3C">
                      <w:pPr>
                        <w:pStyle w:val="ListParagraph"/>
                        <w:numPr>
                          <w:ilvl w:val="0"/>
                          <w:numId w:val="25"/>
                        </w:numPr>
                        <w:spacing w:before="120" w:after="120" w:line="288" w:lineRule="auto"/>
                      </w:pPr>
                      <w:r w:rsidRPr="001B67A4">
                        <w:rPr>
                          <w:rStyle w:val="normaltextrun"/>
                          <w:i/>
                          <w:sz w:val="18"/>
                          <w:szCs w:val="18"/>
                        </w:rPr>
                        <w:t>gauging whether engagement objectives, commentary on engagement activities, or company behaviour could constrain competition or encourage anti-competitive behaviour.</w:t>
                      </w:r>
                    </w:p>
                  </w:txbxContent>
                </v:textbox>
                <w10:wrap type="tight" anchorx="page"/>
              </v:shape>
            </w:pict>
          </mc:Fallback>
        </mc:AlternateContent>
      </w:r>
      <w:r w:rsidR="001A103B">
        <w:t xml:space="preserve"> </w:t>
      </w:r>
      <w:r w:rsidR="00C27FDB" w:rsidRPr="00F8177B">
        <w:br w:type="page"/>
      </w:r>
    </w:p>
    <w:p w14:paraId="51FBADDB" w14:textId="08BB7772" w:rsidR="009948D9" w:rsidRPr="00F8177B" w:rsidRDefault="00E63C99" w:rsidP="000F2F1A">
      <w:pPr>
        <w:pStyle w:val="Heading1"/>
      </w:pPr>
      <w:bookmarkStart w:id="23" w:name="_Toc172287045"/>
      <w:r w:rsidRPr="00F8177B">
        <w:lastRenderedPageBreak/>
        <w:t>what is the role of policy?</w:t>
      </w:r>
      <w:bookmarkEnd w:id="23"/>
    </w:p>
    <w:p w14:paraId="57792B26" w14:textId="3A140DAA" w:rsidR="0055288E" w:rsidRPr="00F8177B" w:rsidRDefault="00727BFC" w:rsidP="000F2F1A">
      <w:r w:rsidRPr="00F8177B">
        <w:t xml:space="preserve">The </w:t>
      </w:r>
      <w:r w:rsidR="3DDC008F" w:rsidRPr="00F8177B">
        <w:t xml:space="preserve">findings of </w:t>
      </w:r>
      <w:hyperlink r:id="rId26" w:history="1">
        <w:r w:rsidR="3DDC008F" w:rsidRPr="00F8177B">
          <w:rPr>
            <w:rStyle w:val="Hyperlink"/>
            <w:i/>
            <w:iCs/>
          </w:rPr>
          <w:t>A Legal Framework for Impact</w:t>
        </w:r>
      </w:hyperlink>
      <w:r w:rsidRPr="00F8177B">
        <w:t xml:space="preserve"> </w:t>
      </w:r>
      <w:r w:rsidR="0047153D" w:rsidRPr="00F8177B">
        <w:t>highlighted that</w:t>
      </w:r>
      <w:r w:rsidR="00F70417" w:rsidRPr="00F8177B">
        <w:t>,</w:t>
      </w:r>
      <w:r w:rsidR="00C02CE2" w:rsidRPr="00F8177B">
        <w:t xml:space="preserve"> </w:t>
      </w:r>
      <w:r w:rsidR="0047153D" w:rsidRPr="00F8177B">
        <w:t xml:space="preserve">while </w:t>
      </w:r>
      <w:r w:rsidR="004D07ED" w:rsidRPr="00F8177B">
        <w:t>collaborative action</w:t>
      </w:r>
      <w:r w:rsidR="00150993" w:rsidRPr="00F8177B">
        <w:t xml:space="preserve"> is possible</w:t>
      </w:r>
      <w:r w:rsidR="00F70417" w:rsidRPr="00F8177B">
        <w:t xml:space="preserve"> or </w:t>
      </w:r>
      <w:r w:rsidR="003B7E44" w:rsidRPr="00F8177B">
        <w:t>permitted</w:t>
      </w:r>
      <w:r w:rsidR="00150993" w:rsidRPr="00F8177B">
        <w:t xml:space="preserve"> in all juri</w:t>
      </w:r>
      <w:r w:rsidR="003E1E2D" w:rsidRPr="00F8177B">
        <w:t xml:space="preserve">sdictions, </w:t>
      </w:r>
      <w:r w:rsidRPr="00F8177B">
        <w:t>those engaging in collective activity need to do so in a way that does not breach competition, insider dealing and market manipulation, takeover</w:t>
      </w:r>
      <w:r w:rsidR="00F70417" w:rsidRPr="00F8177B">
        <w:t>,</w:t>
      </w:r>
      <w:r w:rsidRPr="00F8177B">
        <w:t xml:space="preserve"> and other relevant rules</w:t>
      </w:r>
      <w:r w:rsidR="00F70417" w:rsidRPr="00F8177B">
        <w:t>.</w:t>
      </w:r>
      <w:r w:rsidR="00BA7FAB" w:rsidRPr="00F8177B">
        <w:rPr>
          <w:rStyle w:val="FootnoteReference"/>
        </w:rPr>
        <w:footnoteReference w:id="24"/>
      </w:r>
      <w:r w:rsidRPr="00F8177B">
        <w:t xml:space="preserve"> At the level at which much collective stewardship is currently undertaken, these regimes do not generally create </w:t>
      </w:r>
      <w:r w:rsidR="15CF0A4A" w:rsidRPr="00F8177B">
        <w:t>significant</w:t>
      </w:r>
      <w:r w:rsidRPr="00F8177B">
        <w:t xml:space="preserve"> impediments</w:t>
      </w:r>
      <w:r w:rsidR="27DBD848" w:rsidRPr="00F8177B">
        <w:t xml:space="preserve"> to action</w:t>
      </w:r>
      <w:r w:rsidR="78AC1C61" w:rsidRPr="00F8177B">
        <w:t xml:space="preserve"> in most jurisdictions</w:t>
      </w:r>
      <w:r w:rsidRPr="00F8177B">
        <w:t>.</w:t>
      </w:r>
    </w:p>
    <w:p w14:paraId="2164401E" w14:textId="5D91D3B7" w:rsidR="0055288E" w:rsidRPr="00F8177B" w:rsidRDefault="72C9B81F" w:rsidP="000F2F1A">
      <w:r w:rsidRPr="00F8177B">
        <w:t>As this report</w:t>
      </w:r>
      <w:r w:rsidR="00F0318D" w:rsidRPr="00F8177B">
        <w:t xml:space="preserve"> </w:t>
      </w:r>
      <w:r w:rsidRPr="00F8177B">
        <w:t>describe</w:t>
      </w:r>
      <w:r w:rsidR="1A8098C5" w:rsidRPr="00F8177B">
        <w:t xml:space="preserve">s in detail </w:t>
      </w:r>
      <w:r w:rsidR="00F70417" w:rsidRPr="00F8177B">
        <w:t>below</w:t>
      </w:r>
      <w:r w:rsidRPr="00F8177B">
        <w:t>, r</w:t>
      </w:r>
      <w:r w:rsidR="00727BFC" w:rsidRPr="00F8177B">
        <w:t>egulators in a number of jurisdictions have noted the importance of investor cooperation in the context of stewardship activity</w:t>
      </w:r>
      <w:r w:rsidR="00F70417" w:rsidRPr="00F8177B">
        <w:t>,</w:t>
      </w:r>
      <w:r w:rsidR="00727BFC" w:rsidRPr="00F8177B">
        <w:t xml:space="preserve"> in particular</w:t>
      </w:r>
      <w:r w:rsidR="00F70417" w:rsidRPr="00F8177B">
        <w:t>,</w:t>
      </w:r>
      <w:r w:rsidR="005F6385" w:rsidRPr="00F8177B">
        <w:t xml:space="preserve"> </w:t>
      </w:r>
      <w:r w:rsidR="70FF7492" w:rsidRPr="00F8177B">
        <w:t>and</w:t>
      </w:r>
      <w:r w:rsidR="00727BFC" w:rsidRPr="00F8177B">
        <w:t xml:space="preserve"> have </w:t>
      </w:r>
      <w:r w:rsidR="1C85D86E" w:rsidRPr="00F8177B">
        <w:t>stated</w:t>
      </w:r>
      <w:r w:rsidR="00727BFC" w:rsidRPr="00F8177B">
        <w:t xml:space="preserve"> that </w:t>
      </w:r>
      <w:r w:rsidR="1C85D86E" w:rsidRPr="00F8177B">
        <w:t xml:space="preserve">it is not </w:t>
      </w:r>
      <w:r w:rsidR="00727BFC" w:rsidRPr="00F8177B">
        <w:t xml:space="preserve">the intention of </w:t>
      </w:r>
      <w:r w:rsidR="1C85D86E" w:rsidRPr="00F8177B">
        <w:t>such rules</w:t>
      </w:r>
      <w:r w:rsidR="00727BFC" w:rsidRPr="00F8177B">
        <w:t xml:space="preserve"> to prevent legitimate stewardship activities.</w:t>
      </w:r>
      <w:r w:rsidR="001C2F31" w:rsidRPr="00F8177B">
        <w:rPr>
          <w:rStyle w:val="FootnoteReference"/>
        </w:rPr>
        <w:footnoteReference w:id="25"/>
      </w:r>
      <w:r w:rsidR="00727BFC" w:rsidRPr="00F8177B">
        <w:t xml:space="preserve"> </w:t>
      </w:r>
      <w:r w:rsidR="5ED415AA" w:rsidRPr="00F8177B">
        <w:t>Regulators in s</w:t>
      </w:r>
      <w:r w:rsidR="37D533B5" w:rsidRPr="00F8177B">
        <w:t>ome</w:t>
      </w:r>
      <w:r w:rsidR="6BE512C2" w:rsidRPr="00F8177B">
        <w:t xml:space="preserve"> jurisdictions</w:t>
      </w:r>
      <w:r w:rsidR="37D533B5" w:rsidRPr="00F8177B">
        <w:t xml:space="preserve"> have gone further to </w:t>
      </w:r>
      <w:r w:rsidR="5548595D" w:rsidRPr="00F8177B">
        <w:t>acknowledge</w:t>
      </w:r>
      <w:r w:rsidR="37D533B5" w:rsidRPr="00F8177B">
        <w:t xml:space="preserve"> the importance of</w:t>
      </w:r>
      <w:r w:rsidR="005E2FD9" w:rsidRPr="00F8177B">
        <w:t xml:space="preserve"> </w:t>
      </w:r>
      <w:r w:rsidR="37D533B5" w:rsidRPr="00F8177B">
        <w:t xml:space="preserve">collaboration </w:t>
      </w:r>
      <w:r w:rsidR="5BCF7BF8" w:rsidRPr="00F8177B">
        <w:t xml:space="preserve">on sustainability issues and to set out </w:t>
      </w:r>
      <w:r w:rsidR="6B8A24C7" w:rsidRPr="00F8177B">
        <w:t xml:space="preserve">new or updated </w:t>
      </w:r>
      <w:r w:rsidR="5BCF7BF8" w:rsidRPr="00F8177B">
        <w:t>g</w:t>
      </w:r>
      <w:r w:rsidR="2EB867B4" w:rsidRPr="00F8177B">
        <w:t>uidance on the ways in which companies and investors may collaborate to achieve sustainability objectives.</w:t>
      </w:r>
    </w:p>
    <w:p w14:paraId="75E73306" w14:textId="2191EC2B" w:rsidR="0055288E" w:rsidRPr="00F8177B" w:rsidRDefault="00727BFC" w:rsidP="000F2F1A">
      <w:r w:rsidRPr="00F8177B">
        <w:t xml:space="preserve">However, </w:t>
      </w:r>
      <w:r w:rsidR="00091183" w:rsidRPr="00F8177B">
        <w:t>as</w:t>
      </w:r>
      <w:r w:rsidR="0055288E" w:rsidRPr="00F8177B">
        <w:t xml:space="preserve"> </w:t>
      </w:r>
      <w:r w:rsidR="00A00224" w:rsidRPr="00F8177B">
        <w:t>investor collaborations</w:t>
      </w:r>
      <w:r w:rsidR="009258CA" w:rsidRPr="00F8177B">
        <w:t xml:space="preserve"> become more </w:t>
      </w:r>
      <w:r w:rsidR="6009161E" w:rsidRPr="00F8177B">
        <w:t xml:space="preserve">common as dictated by growing </w:t>
      </w:r>
      <w:r w:rsidR="00DA6416" w:rsidRPr="00F8177B">
        <w:t>system-level</w:t>
      </w:r>
      <w:r w:rsidR="6009161E" w:rsidRPr="00F8177B">
        <w:t xml:space="preserve"> risks</w:t>
      </w:r>
      <w:r w:rsidR="00F70417" w:rsidRPr="00F8177B">
        <w:t>,</w:t>
      </w:r>
      <w:r w:rsidR="00354337" w:rsidRPr="00F8177B">
        <w:t xml:space="preserve"> </w:t>
      </w:r>
      <w:r w:rsidR="00091183" w:rsidRPr="00F8177B">
        <w:t>there is</w:t>
      </w:r>
      <w:r w:rsidR="00E710AA" w:rsidRPr="00F8177B">
        <w:t xml:space="preserve"> a greater </w:t>
      </w:r>
      <w:r w:rsidR="29C80AFA" w:rsidRPr="00F8177B">
        <w:t>need for regulatory clarity that is fit for the modern era in which investors are seeking to operate</w:t>
      </w:r>
      <w:r w:rsidR="00091183" w:rsidRPr="00F8177B">
        <w:t>.</w:t>
      </w:r>
      <w:r w:rsidR="009258CA" w:rsidRPr="00F8177B">
        <w:t xml:space="preserve"> </w:t>
      </w:r>
      <w:r w:rsidR="4CAFBF7E" w:rsidRPr="00F8177B">
        <w:t xml:space="preserve">Furthermore, </w:t>
      </w:r>
      <w:r w:rsidR="6A1C0482" w:rsidRPr="00F8177B">
        <w:t>jurisdictions</w:t>
      </w:r>
      <w:r w:rsidR="005A7060" w:rsidRPr="00F8177B">
        <w:t xml:space="preserve"> </w:t>
      </w:r>
      <w:r w:rsidR="2C023217" w:rsidRPr="00F8177B">
        <w:t xml:space="preserve">that constrain the actions of investors in some markets, notably the US, may also be </w:t>
      </w:r>
      <w:r w:rsidR="11BB3B14" w:rsidRPr="00F8177B">
        <w:t xml:space="preserve">creating renewed uncertainty for investors </w:t>
      </w:r>
      <w:r w:rsidR="3594F720" w:rsidRPr="00F8177B">
        <w:t xml:space="preserve">internationally, including </w:t>
      </w:r>
      <w:r w:rsidR="11BB3B14" w:rsidRPr="00F8177B">
        <w:t xml:space="preserve">in </w:t>
      </w:r>
      <w:r w:rsidR="5D6541A8" w:rsidRPr="00F8177B">
        <w:t xml:space="preserve">more permissive </w:t>
      </w:r>
      <w:r w:rsidR="11BB3B14" w:rsidRPr="00F8177B">
        <w:t xml:space="preserve">jurisdictions like the UK and </w:t>
      </w:r>
      <w:r w:rsidR="00F70417" w:rsidRPr="00F8177B">
        <w:t xml:space="preserve">the </w:t>
      </w:r>
      <w:r w:rsidR="11BB3B14" w:rsidRPr="00F8177B">
        <w:t>EU</w:t>
      </w:r>
      <w:r w:rsidR="1221D0C3" w:rsidRPr="00F8177B">
        <w:t>.</w:t>
      </w:r>
      <w:r w:rsidR="11BB3B14" w:rsidRPr="00F8177B">
        <w:t xml:space="preserve"> </w:t>
      </w:r>
      <w:r w:rsidR="00B94841" w:rsidRPr="00F8177B">
        <w:t>F</w:t>
      </w:r>
      <w:r w:rsidR="00BF3325" w:rsidRPr="00F8177B">
        <w:t xml:space="preserve">urther </w:t>
      </w:r>
      <w:r w:rsidR="00DF6123" w:rsidRPr="00F8177B">
        <w:t>policy intervention</w:t>
      </w:r>
      <w:r w:rsidR="00BF3325" w:rsidRPr="00F8177B">
        <w:t>s</w:t>
      </w:r>
      <w:r w:rsidR="00DF6123" w:rsidRPr="00F8177B">
        <w:t xml:space="preserve"> are needed</w:t>
      </w:r>
      <w:r w:rsidR="00B94841" w:rsidRPr="00F8177B">
        <w:t xml:space="preserve"> to</w:t>
      </w:r>
      <w:r w:rsidR="009B11D3" w:rsidRPr="00F8177B">
        <w:t xml:space="preserve"> eliminate </w:t>
      </w:r>
      <w:r w:rsidR="14E769B9" w:rsidRPr="00F8177B">
        <w:t>ongoing</w:t>
      </w:r>
      <w:r w:rsidR="009B11D3" w:rsidRPr="00F8177B">
        <w:t xml:space="preserve"> uncertainties </w:t>
      </w:r>
      <w:r w:rsidR="000C1E25" w:rsidRPr="00F8177B">
        <w:t xml:space="preserve">relating to </w:t>
      </w:r>
      <w:r w:rsidR="00C26422" w:rsidRPr="00F8177B">
        <w:t xml:space="preserve">acting in concert </w:t>
      </w:r>
      <w:r w:rsidR="6D1417AF" w:rsidRPr="00F8177B">
        <w:t xml:space="preserve">and </w:t>
      </w:r>
      <w:r w:rsidR="000C1E25" w:rsidRPr="00F8177B">
        <w:t>competition rules</w:t>
      </w:r>
      <w:r w:rsidR="00F70417" w:rsidRPr="00F8177B">
        <w:t>,</w:t>
      </w:r>
      <w:r w:rsidR="000C1E25" w:rsidRPr="00F8177B">
        <w:t xml:space="preserve"> </w:t>
      </w:r>
      <w:r w:rsidR="009B11D3" w:rsidRPr="00F8177B">
        <w:t xml:space="preserve">and </w:t>
      </w:r>
      <w:r w:rsidR="00F70417" w:rsidRPr="00F8177B">
        <w:t xml:space="preserve">to </w:t>
      </w:r>
      <w:r w:rsidR="009B11D3" w:rsidRPr="00F8177B">
        <w:t xml:space="preserve">ensure that </w:t>
      </w:r>
      <w:r w:rsidR="4D25B886" w:rsidRPr="00F8177B">
        <w:t>investors are able to undertake</w:t>
      </w:r>
      <w:r w:rsidR="009B11D3" w:rsidRPr="00F8177B">
        <w:t xml:space="preserve"> </w:t>
      </w:r>
      <w:r w:rsidR="000C1E25" w:rsidRPr="00F8177B">
        <w:t xml:space="preserve">sufficient collaborative action </w:t>
      </w:r>
      <w:r w:rsidR="1FE822A0" w:rsidRPr="00F8177B">
        <w:t>to</w:t>
      </w:r>
      <w:r w:rsidR="79F20792" w:rsidRPr="00F8177B">
        <w:t xml:space="preserve"> manage ESG risks and</w:t>
      </w:r>
      <w:r w:rsidR="1FE822A0" w:rsidRPr="00F8177B">
        <w:t xml:space="preserve"> achieve sustainability goals</w:t>
      </w:r>
      <w:r w:rsidR="009E7840" w:rsidRPr="00F8177B">
        <w:t xml:space="preserve">. </w:t>
      </w:r>
    </w:p>
    <w:p w14:paraId="0066EF71" w14:textId="317A4E09" w:rsidR="00036DE1" w:rsidRPr="00F8177B" w:rsidRDefault="54A51300" w:rsidP="000F2F1A">
      <w:pPr>
        <w:pStyle w:val="Heading2"/>
      </w:pPr>
      <w:bookmarkStart w:id="24" w:name="_Toc172287046"/>
      <w:r w:rsidRPr="00F8177B">
        <w:t>P</w:t>
      </w:r>
      <w:r w:rsidR="00036DE1" w:rsidRPr="00F8177B">
        <w:t>olicy recommendations</w:t>
      </w:r>
      <w:bookmarkEnd w:id="24"/>
    </w:p>
    <w:p w14:paraId="40687512" w14:textId="580CDEB2" w:rsidR="00156563" w:rsidRPr="00F8177B" w:rsidRDefault="17FE73AC" w:rsidP="00D00FFA">
      <w:pPr>
        <w:pStyle w:val="Heading3"/>
      </w:pPr>
      <w:r w:rsidRPr="00F8177B">
        <w:t xml:space="preserve">Clarify that investors can consider collaboration in seeking to achieve their sustainability objectives </w:t>
      </w:r>
    </w:p>
    <w:p w14:paraId="117AEB2F" w14:textId="30CEC589" w:rsidR="005536A7" w:rsidRPr="00F8177B" w:rsidRDefault="00695A4D" w:rsidP="005536A7">
      <w:pPr>
        <w:pStyle w:val="BodyText"/>
        <w:rPr>
          <w:b/>
          <w:bCs/>
        </w:rPr>
      </w:pPr>
      <w:r w:rsidRPr="00F8177B">
        <w:rPr>
          <w:noProof/>
        </w:rPr>
        <mc:AlternateContent>
          <mc:Choice Requires="wps">
            <w:drawing>
              <wp:anchor distT="0" distB="0" distL="114300" distR="114300" simplePos="0" relativeHeight="251658242" behindDoc="1" locked="0" layoutInCell="1" allowOverlap="1" wp14:anchorId="5DA8C62D" wp14:editId="5B6A9F7D">
                <wp:simplePos x="0" y="0"/>
                <wp:positionH relativeFrom="margin">
                  <wp:align>left</wp:align>
                </wp:positionH>
                <wp:positionV relativeFrom="paragraph">
                  <wp:posOffset>1249303</wp:posOffset>
                </wp:positionV>
                <wp:extent cx="5767070" cy="1938655"/>
                <wp:effectExtent l="0" t="0" r="24130" b="23495"/>
                <wp:wrapTight wrapText="bothSides">
                  <wp:wrapPolygon edited="0">
                    <wp:start x="0" y="0"/>
                    <wp:lineTo x="0" y="21650"/>
                    <wp:lineTo x="21619" y="21650"/>
                    <wp:lineTo x="21619" y="0"/>
                    <wp:lineTo x="0" y="0"/>
                  </wp:wrapPolygon>
                </wp:wrapTight>
                <wp:docPr id="865403783" name="Text Box 865403783"/>
                <wp:cNvGraphicFramePr/>
                <a:graphic xmlns:a="http://schemas.openxmlformats.org/drawingml/2006/main">
                  <a:graphicData uri="http://schemas.microsoft.com/office/word/2010/wordprocessingShape">
                    <wps:wsp>
                      <wps:cNvSpPr txBox="1"/>
                      <wps:spPr>
                        <a:xfrm>
                          <a:off x="0" y="0"/>
                          <a:ext cx="5767070" cy="1938655"/>
                        </a:xfrm>
                        <a:prstGeom prst="rect">
                          <a:avLst/>
                        </a:prstGeom>
                        <a:solidFill>
                          <a:srgbClr val="5B9BD5">
                            <a:lumMod val="20000"/>
                            <a:lumOff val="80000"/>
                          </a:srgbClr>
                        </a:solidFill>
                        <a:ln w="6350">
                          <a:solidFill>
                            <a:srgbClr val="5B9BD5"/>
                          </a:solidFill>
                        </a:ln>
                      </wps:spPr>
                      <wps:txbx>
                        <w:txbxContent>
                          <w:p w14:paraId="5227087C" w14:textId="427576B2" w:rsidR="0092088D" w:rsidRPr="00695A4D" w:rsidRDefault="004540DF" w:rsidP="000F2F1A">
                            <w:pPr>
                              <w:rPr>
                                <w:rStyle w:val="normaltextrun"/>
                                <w:sz w:val="18"/>
                                <w:szCs w:val="18"/>
                              </w:rPr>
                            </w:pPr>
                            <w:r w:rsidRPr="0021582B">
                              <w:rPr>
                                <w:sz w:val="18"/>
                                <w:szCs w:val="18"/>
                              </w:rPr>
                              <w:t>Example</w:t>
                            </w:r>
                            <w:r w:rsidR="00512203" w:rsidRPr="0021582B">
                              <w:rPr>
                                <w:sz w:val="18"/>
                                <w:szCs w:val="18"/>
                              </w:rPr>
                              <w:t xml:space="preserve"> 1.</w:t>
                            </w:r>
                            <w:r w:rsidR="0092088D" w:rsidRPr="0021582B">
                              <w:rPr>
                                <w:sz w:val="18"/>
                                <w:szCs w:val="18"/>
                              </w:rPr>
                              <w:t xml:space="preserve"> </w:t>
                            </w:r>
                            <w:r w:rsidR="00483CAD" w:rsidRPr="00695A4D">
                              <w:rPr>
                                <w:rStyle w:val="normaltextrun"/>
                                <w:b/>
                                <w:bCs/>
                                <w:sz w:val="18"/>
                                <w:szCs w:val="18"/>
                              </w:rPr>
                              <w:t xml:space="preserve">Clarifying </w:t>
                            </w:r>
                            <w:r w:rsidR="00945921" w:rsidRPr="00695A4D">
                              <w:rPr>
                                <w:rStyle w:val="normaltextrun"/>
                                <w:b/>
                                <w:bCs/>
                                <w:sz w:val="18"/>
                                <w:szCs w:val="18"/>
                              </w:rPr>
                              <w:t xml:space="preserve">expectations on investors to participate in collaborative engagement and </w:t>
                            </w:r>
                            <w:r w:rsidR="00B224DE" w:rsidRPr="00695A4D">
                              <w:rPr>
                                <w:rStyle w:val="normaltextrun"/>
                                <w:b/>
                                <w:bCs/>
                                <w:sz w:val="18"/>
                                <w:szCs w:val="18"/>
                              </w:rPr>
                              <w:t>make disclosure</w:t>
                            </w:r>
                            <w:r w:rsidR="002E6F8E" w:rsidRPr="00695A4D">
                              <w:rPr>
                                <w:rStyle w:val="normaltextrun"/>
                                <w:b/>
                                <w:bCs/>
                                <w:sz w:val="18"/>
                                <w:szCs w:val="18"/>
                              </w:rPr>
                              <w:t>—</w:t>
                            </w:r>
                            <w:hyperlink r:id="rId27" w:history="1">
                              <w:r w:rsidR="002E6F8E" w:rsidRPr="00695A4D">
                                <w:rPr>
                                  <w:rStyle w:val="Hyperlink"/>
                                  <w:b/>
                                  <w:bCs/>
                                  <w:sz w:val="18"/>
                                  <w:szCs w:val="18"/>
                                </w:rPr>
                                <w:t>UK stewardship code</w:t>
                              </w:r>
                            </w:hyperlink>
                            <w:r w:rsidR="00B224DE" w:rsidRPr="00695A4D">
                              <w:rPr>
                                <w:rStyle w:val="normaltextrun"/>
                                <w:b/>
                                <w:bCs/>
                                <w:sz w:val="18"/>
                                <w:szCs w:val="18"/>
                              </w:rPr>
                              <w:t xml:space="preserve"> </w:t>
                            </w:r>
                          </w:p>
                          <w:p w14:paraId="31BA2D9C" w14:textId="77777777" w:rsidR="00020502" w:rsidRPr="0021582B" w:rsidRDefault="00020502" w:rsidP="000F2F1A">
                            <w:pPr>
                              <w:rPr>
                                <w:sz w:val="18"/>
                                <w:szCs w:val="18"/>
                              </w:rPr>
                            </w:pPr>
                            <w:r w:rsidRPr="0021582B">
                              <w:rPr>
                                <w:sz w:val="18"/>
                                <w:szCs w:val="18"/>
                              </w:rPr>
                              <w:t>Policy makers can use a stewardship regulation or policy to provide clear guidance on collaborative engagement and disclosure.</w:t>
                            </w:r>
                          </w:p>
                          <w:p w14:paraId="41F7223D" w14:textId="2DC38F1D" w:rsidR="0092088D" w:rsidRPr="0021582B" w:rsidRDefault="0092088D" w:rsidP="00695A4D">
                            <w:pPr>
                              <w:rPr>
                                <w:sz w:val="18"/>
                                <w:szCs w:val="18"/>
                              </w:rPr>
                            </w:pPr>
                            <w:r w:rsidRPr="0021582B">
                              <w:rPr>
                                <w:sz w:val="18"/>
                                <w:szCs w:val="18"/>
                              </w:rPr>
                              <w:t>The UK Stewardship Code 2020</w:t>
                            </w:r>
                            <w:r w:rsidRPr="00695A4D">
                              <w:rPr>
                                <w:rStyle w:val="FootnoteReference"/>
                                <w:sz w:val="18"/>
                                <w:szCs w:val="18"/>
                              </w:rPr>
                              <w:footnoteRef/>
                            </w:r>
                            <w:r w:rsidRPr="0021582B">
                              <w:rPr>
                                <w:sz w:val="18"/>
                                <w:szCs w:val="18"/>
                              </w:rPr>
                              <w:t xml:space="preserve"> sets high stewardship standards for those investing on behalf of UK savers and pensioners. Principle 10 of the Code asks</w:t>
                            </w:r>
                            <w:r w:rsidR="00CC5786">
                              <w:rPr>
                                <w:sz w:val="18"/>
                                <w:szCs w:val="18"/>
                              </w:rPr>
                              <w:t xml:space="preserve"> that</w:t>
                            </w:r>
                            <w:r w:rsidRPr="0021582B">
                              <w:rPr>
                                <w:sz w:val="18"/>
                                <w:szCs w:val="18"/>
                              </w:rPr>
                              <w:t xml:space="preserve"> </w:t>
                            </w:r>
                            <w:r w:rsidR="006461AE">
                              <w:rPr>
                                <w:sz w:val="18"/>
                                <w:szCs w:val="18"/>
                              </w:rPr>
                              <w:t>‘</w:t>
                            </w:r>
                            <w:r w:rsidRPr="0021582B">
                              <w:rPr>
                                <w:sz w:val="18"/>
                                <w:szCs w:val="18"/>
                              </w:rPr>
                              <w:t>Signatories, where necessary, participate in collaborative engagement to influence issuers.</w:t>
                            </w:r>
                            <w:r w:rsidR="006461AE">
                              <w:rPr>
                                <w:sz w:val="18"/>
                                <w:szCs w:val="18"/>
                              </w:rPr>
                              <w:t>’</w:t>
                            </w:r>
                            <w:r w:rsidRPr="0021582B">
                              <w:rPr>
                                <w:sz w:val="18"/>
                                <w:szCs w:val="18"/>
                              </w:rPr>
                              <w:t xml:space="preserve"> </w:t>
                            </w:r>
                            <w:r w:rsidR="00CC5786">
                              <w:rPr>
                                <w:sz w:val="18"/>
                                <w:szCs w:val="18"/>
                              </w:rPr>
                              <w:t>A</w:t>
                            </w:r>
                            <w:r w:rsidRPr="0021582B">
                              <w:rPr>
                                <w:sz w:val="18"/>
                                <w:szCs w:val="18"/>
                              </w:rPr>
                              <w:t>s part of their disclosure</w:t>
                            </w:r>
                            <w:r w:rsidR="00CC5786">
                              <w:rPr>
                                <w:sz w:val="18"/>
                                <w:szCs w:val="18"/>
                              </w:rPr>
                              <w:t xml:space="preserve">, </w:t>
                            </w:r>
                            <w:r w:rsidR="00CC5786" w:rsidRPr="0021582B">
                              <w:rPr>
                                <w:sz w:val="18"/>
                                <w:szCs w:val="18"/>
                              </w:rPr>
                              <w:t>signatories</w:t>
                            </w:r>
                            <w:r w:rsidR="00CC5786">
                              <w:rPr>
                                <w:sz w:val="18"/>
                                <w:szCs w:val="18"/>
                              </w:rPr>
                              <w:t xml:space="preserve"> should</w:t>
                            </w:r>
                            <w:r w:rsidRPr="0021582B">
                              <w:rPr>
                                <w:sz w:val="18"/>
                                <w:szCs w:val="18"/>
                              </w:rPr>
                              <w:t xml:space="preserve"> not only report on what collaborative engagement they have participated in and why but also the outcomes of the collaborative engagement. This requir</w:t>
                            </w:r>
                            <w:r w:rsidR="00CC5786">
                              <w:rPr>
                                <w:sz w:val="18"/>
                                <w:szCs w:val="18"/>
                              </w:rPr>
                              <w:t>es</w:t>
                            </w:r>
                            <w:r w:rsidRPr="0021582B">
                              <w:rPr>
                                <w:sz w:val="18"/>
                                <w:szCs w:val="18"/>
                              </w:rPr>
                              <w:t xml:space="preserve"> signatories to reflect on the efficacy of the initiative and</w:t>
                            </w:r>
                            <w:r w:rsidR="00CC5786">
                              <w:rPr>
                                <w:sz w:val="18"/>
                                <w:szCs w:val="18"/>
                              </w:rPr>
                              <w:t xml:space="preserve">, </w:t>
                            </w:r>
                            <w:r w:rsidRPr="0021582B">
                              <w:rPr>
                                <w:sz w:val="18"/>
                                <w:szCs w:val="18"/>
                              </w:rPr>
                              <w:t>where the desired outcome has not been</w:t>
                            </w:r>
                            <w:r w:rsidRPr="00695A4D">
                              <w:t xml:space="preserve"> </w:t>
                            </w:r>
                            <w:r w:rsidRPr="0021582B">
                              <w:rPr>
                                <w:sz w:val="18"/>
                                <w:szCs w:val="18"/>
                              </w:rPr>
                              <w:t>achieved</w:t>
                            </w:r>
                            <w:r w:rsidR="00CC5786">
                              <w:rPr>
                                <w:sz w:val="18"/>
                                <w:szCs w:val="18"/>
                              </w:rPr>
                              <w:t>,</w:t>
                            </w:r>
                            <w:r w:rsidRPr="0021582B">
                              <w:rPr>
                                <w:sz w:val="18"/>
                                <w:szCs w:val="18"/>
                              </w:rPr>
                              <w:t xml:space="preserve"> what could be improved.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C62D" id="Text Box 865403783" o:spid="_x0000_s1029" type="#_x0000_t202" style="position:absolute;margin-left:0;margin-top:98.35pt;width:454.1pt;height:152.65pt;z-index:-2516582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" fillcolor="#deebf7" strokecolor="#5b9bd5" strokeweight=".5pt">
                <v:textbox>
                  <w:txbxContent>
                    <w:p w14:paraId="5227087C" w14:textId="427576B2" w:rsidR="0092088D" w:rsidRPr="00695A4D" w:rsidRDefault="004540DF" w:rsidP="000F2F1A">
                      <w:pPr>
                        <w:rPr>
                          <w:rStyle w:val="normaltextrun"/>
                          <w:sz w:val="18"/>
                          <w:szCs w:val="18"/>
                        </w:rPr>
                      </w:pPr>
                      <w:r w:rsidRPr="0021582B">
                        <w:rPr>
                          <w:sz w:val="18"/>
                          <w:szCs w:val="18"/>
                        </w:rPr>
                        <w:t>Example</w:t>
                      </w:r>
                      <w:r w:rsidR="00512203" w:rsidRPr="0021582B">
                        <w:rPr>
                          <w:sz w:val="18"/>
                          <w:szCs w:val="18"/>
                        </w:rPr>
                        <w:t xml:space="preserve"> 1.</w:t>
                      </w:r>
                      <w:r w:rsidR="0092088D" w:rsidRPr="0021582B">
                        <w:rPr>
                          <w:sz w:val="18"/>
                          <w:szCs w:val="18"/>
                        </w:rPr>
                        <w:t xml:space="preserve"> </w:t>
                      </w:r>
                      <w:r w:rsidR="00483CAD" w:rsidRPr="00695A4D">
                        <w:rPr>
                          <w:rStyle w:val="normaltextrun"/>
                          <w:b/>
                          <w:bCs/>
                          <w:sz w:val="18"/>
                          <w:szCs w:val="18"/>
                        </w:rPr>
                        <w:t xml:space="preserve">Clarifying </w:t>
                      </w:r>
                      <w:r w:rsidR="00945921" w:rsidRPr="00695A4D">
                        <w:rPr>
                          <w:rStyle w:val="normaltextrun"/>
                          <w:b/>
                          <w:bCs/>
                          <w:sz w:val="18"/>
                          <w:szCs w:val="18"/>
                        </w:rPr>
                        <w:t xml:space="preserve">expectations on investors to participate in collaborative engagement and </w:t>
                      </w:r>
                      <w:r w:rsidR="00B224DE" w:rsidRPr="00695A4D">
                        <w:rPr>
                          <w:rStyle w:val="normaltextrun"/>
                          <w:b/>
                          <w:bCs/>
                          <w:sz w:val="18"/>
                          <w:szCs w:val="18"/>
                        </w:rPr>
                        <w:t>make disclosure</w:t>
                      </w:r>
                      <w:r w:rsidR="002E6F8E" w:rsidRPr="00695A4D">
                        <w:rPr>
                          <w:rStyle w:val="normaltextrun"/>
                          <w:b/>
                          <w:bCs/>
                          <w:sz w:val="18"/>
                          <w:szCs w:val="18"/>
                        </w:rPr>
                        <w:t>—</w:t>
                      </w:r>
                      <w:hyperlink r:id="rId28" w:history="1">
                        <w:r w:rsidR="002E6F8E" w:rsidRPr="00695A4D">
                          <w:rPr>
                            <w:rStyle w:val="Hyperlink"/>
                            <w:b/>
                            <w:bCs/>
                            <w:sz w:val="18"/>
                            <w:szCs w:val="18"/>
                          </w:rPr>
                          <w:t>UK stewardship code</w:t>
                        </w:r>
                      </w:hyperlink>
                      <w:r w:rsidR="00B224DE" w:rsidRPr="00695A4D">
                        <w:rPr>
                          <w:rStyle w:val="normaltextrun"/>
                          <w:b/>
                          <w:bCs/>
                          <w:sz w:val="18"/>
                          <w:szCs w:val="18"/>
                        </w:rPr>
                        <w:t xml:space="preserve"> </w:t>
                      </w:r>
                    </w:p>
                    <w:p w14:paraId="31BA2D9C" w14:textId="77777777" w:rsidR="00020502" w:rsidRPr="0021582B" w:rsidRDefault="00020502" w:rsidP="000F2F1A">
                      <w:pPr>
                        <w:rPr>
                          <w:sz w:val="18"/>
                          <w:szCs w:val="18"/>
                        </w:rPr>
                      </w:pPr>
                      <w:r w:rsidRPr="0021582B">
                        <w:rPr>
                          <w:sz w:val="18"/>
                          <w:szCs w:val="18"/>
                        </w:rPr>
                        <w:t>Policy makers can use a stewardship regulation or policy to provide clear guidance on collaborative engagement and disclosure.</w:t>
                      </w:r>
                    </w:p>
                    <w:p w14:paraId="41F7223D" w14:textId="2DC38F1D" w:rsidR="0092088D" w:rsidRPr="0021582B" w:rsidRDefault="0092088D" w:rsidP="00695A4D">
                      <w:pPr>
                        <w:rPr>
                          <w:sz w:val="18"/>
                          <w:szCs w:val="18"/>
                        </w:rPr>
                      </w:pPr>
                      <w:r w:rsidRPr="0021582B">
                        <w:rPr>
                          <w:sz w:val="18"/>
                          <w:szCs w:val="18"/>
                        </w:rPr>
                        <w:t>The UK Stewardship Code 2020</w:t>
                      </w:r>
                      <w:r w:rsidRPr="00695A4D">
                        <w:rPr>
                          <w:rStyle w:val="FootnoteReference"/>
                          <w:sz w:val="18"/>
                          <w:szCs w:val="18"/>
                        </w:rPr>
                        <w:footnoteRef/>
                      </w:r>
                      <w:r w:rsidRPr="0021582B">
                        <w:rPr>
                          <w:sz w:val="18"/>
                          <w:szCs w:val="18"/>
                        </w:rPr>
                        <w:t xml:space="preserve"> sets high stewardship standards for those investing on behalf of UK savers and pensioners. Principle 10 of the Code asks</w:t>
                      </w:r>
                      <w:r w:rsidR="00CC5786">
                        <w:rPr>
                          <w:sz w:val="18"/>
                          <w:szCs w:val="18"/>
                        </w:rPr>
                        <w:t xml:space="preserve"> that</w:t>
                      </w:r>
                      <w:r w:rsidRPr="0021582B">
                        <w:rPr>
                          <w:sz w:val="18"/>
                          <w:szCs w:val="18"/>
                        </w:rPr>
                        <w:t xml:space="preserve"> </w:t>
                      </w:r>
                      <w:r w:rsidR="006461AE">
                        <w:rPr>
                          <w:sz w:val="18"/>
                          <w:szCs w:val="18"/>
                        </w:rPr>
                        <w:t>‘</w:t>
                      </w:r>
                      <w:r w:rsidRPr="0021582B">
                        <w:rPr>
                          <w:sz w:val="18"/>
                          <w:szCs w:val="18"/>
                        </w:rPr>
                        <w:t>Signatories, where necessary, participate in collaborative engagement to influence issuers.</w:t>
                      </w:r>
                      <w:r w:rsidR="006461AE">
                        <w:rPr>
                          <w:sz w:val="18"/>
                          <w:szCs w:val="18"/>
                        </w:rPr>
                        <w:t>’</w:t>
                      </w:r>
                      <w:r w:rsidRPr="0021582B">
                        <w:rPr>
                          <w:sz w:val="18"/>
                          <w:szCs w:val="18"/>
                        </w:rPr>
                        <w:t xml:space="preserve"> </w:t>
                      </w:r>
                      <w:r w:rsidR="00CC5786">
                        <w:rPr>
                          <w:sz w:val="18"/>
                          <w:szCs w:val="18"/>
                        </w:rPr>
                        <w:t>A</w:t>
                      </w:r>
                      <w:r w:rsidRPr="0021582B">
                        <w:rPr>
                          <w:sz w:val="18"/>
                          <w:szCs w:val="18"/>
                        </w:rPr>
                        <w:t>s part of their disclosure</w:t>
                      </w:r>
                      <w:r w:rsidR="00CC5786">
                        <w:rPr>
                          <w:sz w:val="18"/>
                          <w:szCs w:val="18"/>
                        </w:rPr>
                        <w:t xml:space="preserve">, </w:t>
                      </w:r>
                      <w:r w:rsidR="00CC5786" w:rsidRPr="0021582B">
                        <w:rPr>
                          <w:sz w:val="18"/>
                          <w:szCs w:val="18"/>
                        </w:rPr>
                        <w:t>signatories</w:t>
                      </w:r>
                      <w:r w:rsidR="00CC5786">
                        <w:rPr>
                          <w:sz w:val="18"/>
                          <w:szCs w:val="18"/>
                        </w:rPr>
                        <w:t xml:space="preserve"> should</w:t>
                      </w:r>
                      <w:r w:rsidRPr="0021582B">
                        <w:rPr>
                          <w:sz w:val="18"/>
                          <w:szCs w:val="18"/>
                        </w:rPr>
                        <w:t xml:space="preserve"> not only report on what collaborative engagement they have participated in and why but also the outcomes of the collaborative engagement. This requir</w:t>
                      </w:r>
                      <w:r w:rsidR="00CC5786">
                        <w:rPr>
                          <w:sz w:val="18"/>
                          <w:szCs w:val="18"/>
                        </w:rPr>
                        <w:t>es</w:t>
                      </w:r>
                      <w:r w:rsidRPr="0021582B">
                        <w:rPr>
                          <w:sz w:val="18"/>
                          <w:szCs w:val="18"/>
                        </w:rPr>
                        <w:t xml:space="preserve"> signatories to reflect on the efficacy of the initiative and</w:t>
                      </w:r>
                      <w:r w:rsidR="00CC5786">
                        <w:rPr>
                          <w:sz w:val="18"/>
                          <w:szCs w:val="18"/>
                        </w:rPr>
                        <w:t xml:space="preserve">, </w:t>
                      </w:r>
                      <w:r w:rsidRPr="0021582B">
                        <w:rPr>
                          <w:sz w:val="18"/>
                          <w:szCs w:val="18"/>
                        </w:rPr>
                        <w:t>where the desired outcome has not been</w:t>
                      </w:r>
                      <w:r w:rsidRPr="00695A4D">
                        <w:t xml:space="preserve"> </w:t>
                      </w:r>
                      <w:r w:rsidRPr="0021582B">
                        <w:rPr>
                          <w:sz w:val="18"/>
                          <w:szCs w:val="18"/>
                        </w:rPr>
                        <w:t>achieved</w:t>
                      </w:r>
                      <w:r w:rsidR="00CC5786">
                        <w:rPr>
                          <w:sz w:val="18"/>
                          <w:szCs w:val="18"/>
                        </w:rPr>
                        <w:t>,</w:t>
                      </w:r>
                      <w:r w:rsidRPr="0021582B">
                        <w:rPr>
                          <w:sz w:val="18"/>
                          <w:szCs w:val="18"/>
                        </w:rPr>
                        <w:t xml:space="preserve"> what could be improved. </w:t>
                      </w:r>
                    </w:p>
                  </w:txbxContent>
                </v:textbox>
                <w10:wrap type="tight" anchorx="margin"/>
              </v:shape>
            </w:pict>
          </mc:Fallback>
        </mc:AlternateContent>
      </w:r>
      <w:r w:rsidR="00CC5786" w:rsidRPr="00F8177B">
        <w:t>A</w:t>
      </w:r>
      <w:r w:rsidR="00366570" w:rsidRPr="00F8177B">
        <w:t>ddress</w:t>
      </w:r>
      <w:r w:rsidR="411EC388" w:rsidRPr="00F8177B">
        <w:t>ing</w:t>
      </w:r>
      <w:r w:rsidR="00366570" w:rsidRPr="00F8177B">
        <w:t xml:space="preserve"> sustainability challenges</w:t>
      </w:r>
      <w:r w:rsidR="00E74018" w:rsidRPr="00F8177B">
        <w:t xml:space="preserve"> through collaboration</w:t>
      </w:r>
      <w:r w:rsidR="00366570" w:rsidRPr="00F8177B">
        <w:t xml:space="preserve"> is widespread. However, guidance </w:t>
      </w:r>
      <w:r w:rsidR="00CC5786" w:rsidRPr="00F8177B">
        <w:t xml:space="preserve">is </w:t>
      </w:r>
      <w:r w:rsidR="00F8177B" w:rsidRPr="00F8177B">
        <w:t>needed</w:t>
      </w:r>
      <w:r w:rsidR="00CC5786" w:rsidRPr="00F8177B">
        <w:t xml:space="preserve"> to clarify</w:t>
      </w:r>
      <w:r w:rsidR="00366570" w:rsidRPr="00F8177B">
        <w:t xml:space="preserve"> that investors </w:t>
      </w:r>
      <w:r w:rsidR="006D2824" w:rsidRPr="00F8177B">
        <w:t>can</w:t>
      </w:r>
      <w:r w:rsidR="00366570" w:rsidRPr="00F8177B">
        <w:t xml:space="preserve"> consider collective action in seeking to achieve their objectives and that this can assist in discharging their duties even if </w:t>
      </w:r>
      <w:r w:rsidR="00CC5786" w:rsidRPr="00F8177B">
        <w:t>their</w:t>
      </w:r>
      <w:r w:rsidR="00366570" w:rsidRPr="00F8177B">
        <w:t xml:space="preserve"> contribution and the portfolio benefit cannot be precisely measured</w:t>
      </w:r>
      <w:r w:rsidR="00CC5786" w:rsidRPr="00F8177B">
        <w:t>. This is because</w:t>
      </w:r>
      <w:r w:rsidR="00366570" w:rsidRPr="00F8177B">
        <w:t xml:space="preserve">, like political security, the benefits of sustainable systems as a </w:t>
      </w:r>
      <w:r w:rsidR="00366570" w:rsidRPr="00F8177B">
        <w:lastRenderedPageBreak/>
        <w:t xml:space="preserve">whole are enjoyed by </w:t>
      </w:r>
      <w:r w:rsidR="00CC5786" w:rsidRPr="00F8177B">
        <w:t xml:space="preserve">every </w:t>
      </w:r>
      <w:r w:rsidR="00366570" w:rsidRPr="00F8177B">
        <w:t>person that relies on them. As an alternative, this could be in the form of a prima facie legal presumption in favour of cooperation unless there are solid reasons against</w:t>
      </w:r>
      <w:r w:rsidR="00CC5786" w:rsidRPr="00F8177B">
        <w:t xml:space="preserve"> it</w:t>
      </w:r>
      <w:r w:rsidR="003A7B45" w:rsidRPr="00F8177B">
        <w:t>.</w:t>
      </w:r>
    </w:p>
    <w:p w14:paraId="5CE1720C" w14:textId="0DBB344E" w:rsidR="00EB1DEF" w:rsidRPr="00F8177B" w:rsidRDefault="17FE73AC" w:rsidP="00D00FFA">
      <w:pPr>
        <w:pStyle w:val="Heading3"/>
      </w:pPr>
      <w:r w:rsidRPr="00F8177B">
        <w:t>Review rules that could inhibit investor collaboration aimed to tackle sustainability</w:t>
      </w:r>
      <w:r w:rsidR="00CC5786" w:rsidRPr="00F8177B">
        <w:t>-</w:t>
      </w:r>
      <w:r w:rsidRPr="00F8177B">
        <w:t>related issues</w:t>
      </w:r>
      <w:r w:rsidR="001A103B">
        <w:t xml:space="preserve"> </w:t>
      </w:r>
    </w:p>
    <w:p w14:paraId="343FC5FF" w14:textId="5187E4F9" w:rsidR="004F7C14" w:rsidRPr="00F8177B" w:rsidRDefault="00B21AA4" w:rsidP="000F2F1A">
      <w:r w:rsidRPr="00F8177B">
        <w:t>Review competition law and rules on handling price</w:t>
      </w:r>
      <w:r w:rsidR="008237C6" w:rsidRPr="00F8177B">
        <w:t>-</w:t>
      </w:r>
      <w:r w:rsidRPr="00F8177B">
        <w:t>sensitive information, shareholder concertedness and collective action in relation to a legal entity, and rules on requisitioning shareholder votes to ensure that they do not unnecessarily restrict stewardship activity on sustainability factors. Where necessary, adjust to provide greater freedom</w:t>
      </w:r>
      <w:r w:rsidR="008237C6" w:rsidRPr="00F8177B">
        <w:t>,</w:t>
      </w:r>
      <w:r w:rsidRPr="00F8177B">
        <w:t xml:space="preserve"> </w:t>
      </w:r>
      <w:r w:rsidR="58602122" w:rsidRPr="00F8177B">
        <w:t xml:space="preserve">reflecting the risks </w:t>
      </w:r>
      <w:r w:rsidRPr="00F8177B">
        <w:t>or provid</w:t>
      </w:r>
      <w:r w:rsidR="008237C6" w:rsidRPr="00F8177B">
        <w:t>ing</w:t>
      </w:r>
      <w:r w:rsidRPr="00F8177B">
        <w:t xml:space="preserve"> guidance to reassure investors that freedom already exists.</w:t>
      </w:r>
      <w:r w:rsidR="00607F57" w:rsidRPr="00F8177B">
        <w:t xml:space="preserve"> For example: </w:t>
      </w:r>
    </w:p>
    <w:p w14:paraId="1CD7848B" w14:textId="463F7F52" w:rsidR="00A52DDA" w:rsidRPr="00F8177B" w:rsidRDefault="005A2446" w:rsidP="000F2F1A">
      <w:pPr>
        <w:pStyle w:val="Subtitle"/>
        <w:rPr>
          <w:rStyle w:val="eop"/>
          <w:color w:val="auto"/>
        </w:rPr>
      </w:pPr>
      <w:r w:rsidRPr="00D00FFA">
        <w:rPr>
          <w:rStyle w:val="normaltextrun"/>
          <w:rFonts w:eastAsiaTheme="majorEastAsia"/>
        </w:rPr>
        <w:t xml:space="preserve">Regulators who welcome </w:t>
      </w:r>
      <w:r w:rsidR="001D1EA1" w:rsidRPr="00D00FFA">
        <w:rPr>
          <w:rStyle w:val="normaltextrun"/>
          <w:rFonts w:eastAsiaTheme="majorEastAsia"/>
        </w:rPr>
        <w:t xml:space="preserve">investor collaboration </w:t>
      </w:r>
      <w:r w:rsidRPr="00D00FFA">
        <w:rPr>
          <w:rStyle w:val="normaltextrun"/>
          <w:rFonts w:eastAsiaTheme="majorEastAsia"/>
        </w:rPr>
        <w:t>approaches could better reflect actual practices in regulatory frameworks and guidance</w:t>
      </w:r>
      <w:r w:rsidR="008237C6" w:rsidRPr="00D00FFA">
        <w:rPr>
          <w:rStyle w:val="normaltextrun"/>
          <w:rFonts w:eastAsiaTheme="majorEastAsia"/>
        </w:rPr>
        <w:t>,</w:t>
      </w:r>
      <w:r w:rsidRPr="00D00FFA">
        <w:rPr>
          <w:rStyle w:val="normaltextrun"/>
          <w:rFonts w:eastAsiaTheme="majorEastAsia"/>
        </w:rPr>
        <w:t xml:space="preserve"> could consider formats similar to the ESMA White List </w:t>
      </w:r>
      <w:r w:rsidRPr="00D00FFA">
        <w:rPr>
          <w:rStyle w:val="normaltextrun"/>
          <w:rFonts w:eastAsiaTheme="majorEastAsia"/>
          <w:color w:val="auto"/>
        </w:rPr>
        <w:t>which clarifies shareholder cooperation in takeover situations</w:t>
      </w:r>
      <w:r w:rsidR="008237C6" w:rsidRPr="00D00FFA">
        <w:rPr>
          <w:rStyle w:val="normaltextrun"/>
          <w:rFonts w:eastAsiaTheme="majorEastAsia"/>
          <w:color w:val="auto"/>
        </w:rPr>
        <w:t>,</w:t>
      </w:r>
      <w:r w:rsidRPr="00D00FFA">
        <w:rPr>
          <w:rStyle w:val="normaltextrun"/>
          <w:rFonts w:eastAsiaTheme="majorEastAsia"/>
          <w:color w:val="auto"/>
        </w:rPr>
        <w:t xml:space="preserve"> </w:t>
      </w:r>
      <w:r w:rsidR="00F8177B" w:rsidRPr="00D00FFA">
        <w:rPr>
          <w:rStyle w:val="normaltextrun"/>
          <w:rFonts w:eastAsiaTheme="majorEastAsia"/>
          <w:color w:val="auto"/>
        </w:rPr>
        <w:t>and align</w:t>
      </w:r>
      <w:r w:rsidRPr="00D00FFA">
        <w:rPr>
          <w:rStyle w:val="normaltextrun"/>
          <w:rFonts w:eastAsiaTheme="majorEastAsia"/>
          <w:color w:val="auto"/>
        </w:rPr>
        <w:t xml:space="preserve"> with it</w:t>
      </w:r>
      <w:r w:rsidR="008237C6" w:rsidRPr="00D00FFA">
        <w:rPr>
          <w:rStyle w:val="normaltextrun"/>
          <w:rFonts w:eastAsiaTheme="majorEastAsia"/>
          <w:color w:val="auto"/>
        </w:rPr>
        <w:t xml:space="preserve"> where applicable</w:t>
      </w:r>
      <w:r w:rsidRPr="00D00FFA">
        <w:rPr>
          <w:rStyle w:val="normaltextrun"/>
          <w:rFonts w:eastAsiaTheme="majorEastAsia"/>
          <w:color w:val="auto"/>
        </w:rPr>
        <w:t>.</w:t>
      </w:r>
      <w:r w:rsidRPr="00F8177B">
        <w:rPr>
          <w:rStyle w:val="eop"/>
          <w:rFonts w:eastAsiaTheme="majorEastAsia"/>
          <w:color w:val="auto"/>
        </w:rPr>
        <w:t> </w:t>
      </w:r>
    </w:p>
    <w:p w14:paraId="3449C434" w14:textId="04130AEB" w:rsidR="00A52DDA" w:rsidRPr="00F8177B" w:rsidRDefault="005A2446" w:rsidP="000F2F1A">
      <w:pPr>
        <w:pStyle w:val="Subtitle"/>
        <w:rPr>
          <w:rStyle w:val="eop"/>
          <w:color w:val="auto"/>
        </w:rPr>
      </w:pPr>
      <w:r w:rsidRPr="00D00FFA">
        <w:rPr>
          <w:rStyle w:val="normaltextrun"/>
          <w:rFonts w:eastAsiaTheme="majorEastAsia"/>
          <w:color w:val="auto"/>
          <w:shd w:val="clear" w:color="auto" w:fill="FFFFFF"/>
        </w:rPr>
        <w:t>Regulators</w:t>
      </w:r>
      <w:r w:rsidRPr="00D00FFA">
        <w:rPr>
          <w:rStyle w:val="normaltextrun"/>
          <w:rFonts w:eastAsiaTheme="majorEastAsia"/>
          <w:color w:val="auto"/>
        </w:rPr>
        <w:t xml:space="preserve"> should provide clarity on which engagement-related activities are allowable and how these activities (and assorted escalation measures) can be differentiated from takeovers and purely financially motivated control-seeking bids.</w:t>
      </w:r>
      <w:r w:rsidRPr="00F8177B">
        <w:rPr>
          <w:rStyle w:val="normaltextrun"/>
          <w:rFonts w:eastAsiaTheme="majorEastAsia"/>
          <w:color w:val="auto"/>
        </w:rPr>
        <w:t> </w:t>
      </w:r>
      <w:r w:rsidRPr="00F8177B">
        <w:rPr>
          <w:rStyle w:val="eop"/>
          <w:rFonts w:eastAsiaTheme="majorEastAsia"/>
          <w:color w:val="auto"/>
        </w:rPr>
        <w:t> </w:t>
      </w:r>
    </w:p>
    <w:p w14:paraId="0289480F" w14:textId="36615EE9" w:rsidR="005A2446" w:rsidRPr="00F8177B" w:rsidRDefault="00116F9C" w:rsidP="000F2F1A">
      <w:pPr>
        <w:pStyle w:val="Subtitle"/>
        <w:rPr>
          <w:rStyle w:val="eop"/>
          <w:rFonts w:eastAsiaTheme="majorEastAsia"/>
          <w:color w:val="000000"/>
        </w:rPr>
      </w:pPr>
      <w:r w:rsidRPr="00F8177B">
        <w:rPr>
          <w:noProof/>
        </w:rPr>
        <mc:AlternateContent>
          <mc:Choice Requires="wps">
            <w:drawing>
              <wp:anchor distT="0" distB="0" distL="114300" distR="114300" simplePos="0" relativeHeight="251658244" behindDoc="1" locked="0" layoutInCell="1" allowOverlap="1" wp14:anchorId="2A9423D5" wp14:editId="2E271FA5">
                <wp:simplePos x="0" y="0"/>
                <wp:positionH relativeFrom="margin">
                  <wp:align>right</wp:align>
                </wp:positionH>
                <wp:positionV relativeFrom="paragraph">
                  <wp:posOffset>1065707</wp:posOffset>
                </wp:positionV>
                <wp:extent cx="5767070" cy="3321685"/>
                <wp:effectExtent l="0" t="0" r="24130" b="12065"/>
                <wp:wrapTight wrapText="bothSides">
                  <wp:wrapPolygon edited="0">
                    <wp:start x="0" y="0"/>
                    <wp:lineTo x="0" y="21555"/>
                    <wp:lineTo x="21619" y="21555"/>
                    <wp:lineTo x="21619" y="0"/>
                    <wp:lineTo x="0" y="0"/>
                  </wp:wrapPolygon>
                </wp:wrapTight>
                <wp:docPr id="433921893" name="Text Box 433921893"/>
                <wp:cNvGraphicFramePr/>
                <a:graphic xmlns:a="http://schemas.openxmlformats.org/drawingml/2006/main">
                  <a:graphicData uri="http://schemas.microsoft.com/office/word/2010/wordprocessingShape">
                    <wps:wsp>
                      <wps:cNvSpPr txBox="1"/>
                      <wps:spPr>
                        <a:xfrm>
                          <a:off x="0" y="0"/>
                          <a:ext cx="5767070" cy="3321685"/>
                        </a:xfrm>
                        <a:prstGeom prst="rect">
                          <a:avLst/>
                        </a:prstGeom>
                        <a:solidFill>
                          <a:srgbClr val="5B9BD5">
                            <a:lumMod val="20000"/>
                            <a:lumOff val="80000"/>
                          </a:srgbClr>
                        </a:solidFill>
                        <a:ln w="6350">
                          <a:solidFill>
                            <a:srgbClr val="5B9BD5"/>
                          </a:solidFill>
                        </a:ln>
                      </wps:spPr>
                      <wps:txbx>
                        <w:txbxContent>
                          <w:p w14:paraId="0F24664A" w14:textId="54DA3F55" w:rsidR="002C58A4" w:rsidRPr="00116F9C" w:rsidRDefault="002C58A4" w:rsidP="000F2F1A">
                            <w:pPr>
                              <w:rPr>
                                <w:b/>
                                <w:bCs/>
                                <w:sz w:val="18"/>
                                <w:szCs w:val="18"/>
                              </w:rPr>
                            </w:pPr>
                            <w:r w:rsidRPr="00116F9C">
                              <w:rPr>
                                <w:sz w:val="18"/>
                                <w:szCs w:val="18"/>
                              </w:rPr>
                              <w:t>Example 2.</w:t>
                            </w:r>
                            <w:r w:rsidRPr="00116F9C">
                              <w:rPr>
                                <w:b/>
                                <w:bCs/>
                                <w:sz w:val="18"/>
                                <w:szCs w:val="18"/>
                              </w:rPr>
                              <w:t xml:space="preserve"> </w:t>
                            </w:r>
                            <w:r w:rsidR="001A028D" w:rsidRPr="00116F9C">
                              <w:rPr>
                                <w:b/>
                                <w:bCs/>
                                <w:sz w:val="18"/>
                                <w:szCs w:val="18"/>
                              </w:rPr>
                              <w:t>G</w:t>
                            </w:r>
                            <w:r w:rsidRPr="00116F9C">
                              <w:rPr>
                                <w:b/>
                                <w:bCs/>
                                <w:sz w:val="18"/>
                                <w:szCs w:val="18"/>
                              </w:rPr>
                              <w:t xml:space="preserve">uidance </w:t>
                            </w:r>
                            <w:r w:rsidR="001A028D" w:rsidRPr="00116F9C">
                              <w:rPr>
                                <w:b/>
                                <w:bCs/>
                                <w:sz w:val="18"/>
                                <w:szCs w:val="18"/>
                              </w:rPr>
                              <w:t>on</w:t>
                            </w:r>
                            <w:r w:rsidR="007478FD" w:rsidRPr="00116F9C">
                              <w:rPr>
                                <w:b/>
                                <w:bCs/>
                                <w:sz w:val="18"/>
                                <w:szCs w:val="18"/>
                              </w:rPr>
                              <w:t xml:space="preserve"> </w:t>
                            </w:r>
                            <w:r w:rsidRPr="00116F9C">
                              <w:rPr>
                                <w:b/>
                                <w:bCs/>
                                <w:sz w:val="18"/>
                                <w:szCs w:val="18"/>
                              </w:rPr>
                              <w:t xml:space="preserve">what investor collaboration is permissible </w:t>
                            </w:r>
                          </w:p>
                          <w:bookmarkStart w:id="25" w:name="_Hlk156582501"/>
                          <w:p w14:paraId="45431DED" w14:textId="4FA658C8" w:rsidR="002C58A4" w:rsidRPr="00116F9C" w:rsidRDefault="00A46054" w:rsidP="000F2F1A">
                            <w:pPr>
                              <w:rPr>
                                <w:sz w:val="18"/>
                                <w:szCs w:val="18"/>
                              </w:rPr>
                            </w:pPr>
                            <w:r w:rsidRPr="00116F9C">
                              <w:rPr>
                                <w:sz w:val="18"/>
                                <w:szCs w:val="18"/>
                              </w:rPr>
                              <w:fldChar w:fldCharType="begin"/>
                            </w:r>
                            <w:r w:rsidRPr="00116F9C">
                              <w:rPr>
                                <w:sz w:val="18"/>
                                <w:szCs w:val="18"/>
                              </w:rPr>
                              <w:instrText>HYPERLINK "https://www.gov.uk/government/publications/guidance-on-environmental-sustainability-agreements"</w:instrText>
                            </w:r>
                            <w:r w:rsidRPr="00116F9C">
                              <w:rPr>
                                <w:sz w:val="18"/>
                                <w:szCs w:val="18"/>
                              </w:rPr>
                            </w:r>
                            <w:r w:rsidRPr="00116F9C">
                              <w:rPr>
                                <w:sz w:val="18"/>
                                <w:szCs w:val="18"/>
                              </w:rPr>
                              <w:fldChar w:fldCharType="separate"/>
                            </w:r>
                            <w:r w:rsidR="00C73455" w:rsidRPr="00116F9C">
                              <w:rPr>
                                <w:rStyle w:val="Hyperlink"/>
                                <w:b/>
                                <w:sz w:val="18"/>
                                <w:szCs w:val="18"/>
                              </w:rPr>
                              <w:t>UK CM</w:t>
                            </w:r>
                            <w:r w:rsidR="00ED5CF1" w:rsidRPr="00116F9C">
                              <w:rPr>
                                <w:rStyle w:val="Hyperlink"/>
                                <w:b/>
                                <w:sz w:val="18"/>
                                <w:szCs w:val="18"/>
                              </w:rPr>
                              <w:t>A</w:t>
                            </w:r>
                            <w:r w:rsidR="00C73455" w:rsidRPr="00116F9C">
                              <w:rPr>
                                <w:rStyle w:val="Hyperlink"/>
                                <w:b/>
                                <w:sz w:val="18"/>
                                <w:szCs w:val="18"/>
                              </w:rPr>
                              <w:t xml:space="preserve"> Green Agreements Guidance</w:t>
                            </w:r>
                            <w:r w:rsidRPr="00116F9C">
                              <w:rPr>
                                <w:sz w:val="18"/>
                                <w:szCs w:val="18"/>
                              </w:rPr>
                              <w:fldChar w:fldCharType="end"/>
                            </w:r>
                            <w:r w:rsidR="00C73455" w:rsidRPr="00116F9C">
                              <w:rPr>
                                <w:sz w:val="18"/>
                                <w:szCs w:val="18"/>
                              </w:rPr>
                              <w:t xml:space="preserve"> </w:t>
                            </w:r>
                            <w:r w:rsidR="00B714FC" w:rsidRPr="00116F9C">
                              <w:rPr>
                                <w:sz w:val="18"/>
                                <w:szCs w:val="18"/>
                              </w:rPr>
                              <w:t>(2023)</w:t>
                            </w:r>
                          </w:p>
                          <w:bookmarkEnd w:id="25"/>
                          <w:p w14:paraId="0274D691" w14:textId="2C34C0F3" w:rsidR="002C58A4" w:rsidRPr="00116F9C" w:rsidRDefault="002C58A4" w:rsidP="000F2F1A">
                            <w:pPr>
                              <w:rPr>
                                <w:bCs/>
                                <w:sz w:val="18"/>
                                <w:szCs w:val="18"/>
                              </w:rPr>
                            </w:pPr>
                            <w:r w:rsidRPr="00116F9C">
                              <w:rPr>
                                <w:bCs/>
                                <w:sz w:val="18"/>
                                <w:szCs w:val="18"/>
                              </w:rPr>
                              <w:t xml:space="preserve">The UK Competition and Markets Authority (CMA) published its </w:t>
                            </w:r>
                            <w:r w:rsidR="006461AE">
                              <w:rPr>
                                <w:bCs/>
                                <w:sz w:val="18"/>
                                <w:szCs w:val="18"/>
                              </w:rPr>
                              <w:t>‘</w:t>
                            </w:r>
                            <w:hyperlink r:id="rId29" w:tgtFrame="_blank" w:history="1">
                              <w:r w:rsidRPr="00116F9C">
                                <w:rPr>
                                  <w:rStyle w:val="Hyperlink"/>
                                  <w:bCs/>
                                  <w:sz w:val="18"/>
                                  <w:szCs w:val="18"/>
                                </w:rPr>
                                <w:t>Guidance</w:t>
                              </w:r>
                            </w:hyperlink>
                            <w:r w:rsidRPr="00116F9C">
                              <w:rPr>
                                <w:bCs/>
                                <w:sz w:val="18"/>
                                <w:szCs w:val="18"/>
                              </w:rPr>
                              <w:t> on the application of the Chapter I prohibition in the Competition Act 1998 to environmental sustainability agreements</w:t>
                            </w:r>
                            <w:r w:rsidR="006461AE">
                              <w:rPr>
                                <w:bCs/>
                                <w:sz w:val="18"/>
                                <w:szCs w:val="18"/>
                              </w:rPr>
                              <w:t>’</w:t>
                            </w:r>
                            <w:r w:rsidRPr="00116F9C">
                              <w:rPr>
                                <w:bCs/>
                                <w:sz w:val="18"/>
                                <w:szCs w:val="18"/>
                              </w:rPr>
                              <w:t xml:space="preserve"> (CMA Guidance). </w:t>
                            </w:r>
                          </w:p>
                          <w:p w14:paraId="57582D33" w14:textId="5EF3BC63" w:rsidR="002C58A4" w:rsidRPr="00116F9C" w:rsidRDefault="002C58A4" w:rsidP="000F2F1A">
                            <w:pPr>
                              <w:rPr>
                                <w:sz w:val="18"/>
                                <w:szCs w:val="18"/>
                              </w:rPr>
                            </w:pPr>
                            <w:r w:rsidRPr="00116F9C">
                              <w:rPr>
                                <w:sz w:val="18"/>
                                <w:szCs w:val="18"/>
                              </w:rPr>
                              <w:t xml:space="preserve">The CMA states that the guidance is intended to </w:t>
                            </w:r>
                            <w:r w:rsidR="006461AE">
                              <w:rPr>
                                <w:sz w:val="18"/>
                                <w:szCs w:val="18"/>
                              </w:rPr>
                              <w:t>‘</w:t>
                            </w:r>
                            <w:r w:rsidRPr="00116F9C">
                              <w:rPr>
                                <w:sz w:val="18"/>
                                <w:szCs w:val="18"/>
                              </w:rPr>
                              <w:t>ensure that competition law does not impede legitimate collaboration between businesses that is necessary for the promotion or protection of environmental sustainability.</w:t>
                            </w:r>
                            <w:r w:rsidR="006461AE">
                              <w:rPr>
                                <w:sz w:val="18"/>
                                <w:szCs w:val="18"/>
                              </w:rPr>
                              <w:t>’</w:t>
                            </w:r>
                            <w:r w:rsidRPr="00116F9C">
                              <w:rPr>
                                <w:sz w:val="18"/>
                                <w:szCs w:val="18"/>
                              </w:rPr>
                              <w:t xml:space="preserve"> More specifically, the CMA Guidance sets out how the prohibition on anticompetitive agreements among businesses applies to environmental sustainability agreements among competitors. </w:t>
                            </w:r>
                          </w:p>
                          <w:bookmarkStart w:id="26" w:name="_Hlk156582538"/>
                          <w:p w14:paraId="1EF4E413" w14:textId="6F169E73" w:rsidR="009700FF" w:rsidRPr="00116F9C" w:rsidRDefault="00A62C28" w:rsidP="000F2F1A">
                            <w:pPr>
                              <w:rPr>
                                <w:sz w:val="18"/>
                                <w:szCs w:val="18"/>
                              </w:rPr>
                            </w:pPr>
                            <w:r w:rsidRPr="00116F9C">
                              <w:rPr>
                                <w:sz w:val="18"/>
                                <w:szCs w:val="18"/>
                              </w:rPr>
                              <w:fldChar w:fldCharType="begin"/>
                            </w:r>
                            <w:r w:rsidRPr="00116F9C">
                              <w:rPr>
                                <w:sz w:val="18"/>
                                <w:szCs w:val="18"/>
                              </w:rPr>
                              <w:instrText>HYPERLINK "https://eur-lex.europa.eu/legal-content/EN/TXT/PDF/?uri=CELEX:52023XC0721(01)" \l ":~:text=Article%20101%20aims%20to%20ensure,undertakings%20and%20associations%20of%20undertakings."</w:instrText>
                            </w:r>
                            <w:r w:rsidRPr="00116F9C">
                              <w:rPr>
                                <w:sz w:val="18"/>
                                <w:szCs w:val="18"/>
                              </w:rPr>
                            </w:r>
                            <w:r w:rsidRPr="00116F9C">
                              <w:rPr>
                                <w:sz w:val="18"/>
                                <w:szCs w:val="18"/>
                              </w:rPr>
                              <w:fldChar w:fldCharType="separate"/>
                            </w:r>
                            <w:r w:rsidR="000B5DE5" w:rsidRPr="00116F9C">
                              <w:rPr>
                                <w:rStyle w:val="Hyperlink"/>
                                <w:b/>
                                <w:bCs/>
                                <w:sz w:val="18"/>
                                <w:szCs w:val="18"/>
                              </w:rPr>
                              <w:t>European Commission Guidelines on the applicability of Article 101 of the Treaty on the Functioning of European Union to horizontal co-operation agreements</w:t>
                            </w:r>
                            <w:r w:rsidRPr="00116F9C">
                              <w:rPr>
                                <w:sz w:val="18"/>
                                <w:szCs w:val="18"/>
                              </w:rPr>
                              <w:fldChar w:fldCharType="end"/>
                            </w:r>
                            <w:r w:rsidRPr="00116F9C">
                              <w:rPr>
                                <w:sz w:val="18"/>
                                <w:szCs w:val="18"/>
                              </w:rPr>
                              <w:t xml:space="preserve"> (2023)</w:t>
                            </w:r>
                            <w:bookmarkEnd w:id="26"/>
                            <w:r w:rsidR="000B5DE5" w:rsidRPr="00116F9C">
                              <w:rPr>
                                <w:sz w:val="18"/>
                                <w:szCs w:val="18"/>
                              </w:rPr>
                              <w:t xml:space="preserve"> </w:t>
                            </w:r>
                          </w:p>
                          <w:p w14:paraId="57286BA5" w14:textId="76D4E74F" w:rsidR="002C58A4" w:rsidRPr="00116F9C" w:rsidRDefault="00941680" w:rsidP="000F2F1A">
                            <w:pPr>
                              <w:rPr>
                                <w:sz w:val="18"/>
                                <w:szCs w:val="18"/>
                              </w:rPr>
                            </w:pPr>
                            <w:r w:rsidRPr="00116F9C">
                              <w:rPr>
                                <w:sz w:val="18"/>
                                <w:szCs w:val="18"/>
                              </w:rPr>
                              <w:t xml:space="preserve">In the Guidelines, the Commission provides guidance </w:t>
                            </w:r>
                            <w:r w:rsidR="00D73F9D" w:rsidRPr="00116F9C">
                              <w:rPr>
                                <w:sz w:val="18"/>
                                <w:szCs w:val="18"/>
                              </w:rPr>
                              <w:t xml:space="preserve">for investors to assess </w:t>
                            </w:r>
                            <w:r w:rsidR="00CA7CB7">
                              <w:rPr>
                                <w:sz w:val="18"/>
                                <w:szCs w:val="18"/>
                              </w:rPr>
                              <w:t xml:space="preserve">how </w:t>
                            </w:r>
                            <w:r w:rsidR="00806916" w:rsidRPr="00116F9C">
                              <w:rPr>
                                <w:sz w:val="18"/>
                                <w:szCs w:val="18"/>
                              </w:rPr>
                              <w:t>compatib</w:t>
                            </w:r>
                            <w:r w:rsidR="00CA7CB7">
                              <w:rPr>
                                <w:sz w:val="18"/>
                                <w:szCs w:val="18"/>
                              </w:rPr>
                              <w:t>le</w:t>
                            </w:r>
                            <w:r w:rsidR="00806916" w:rsidRPr="00116F9C">
                              <w:rPr>
                                <w:sz w:val="18"/>
                                <w:szCs w:val="18"/>
                              </w:rPr>
                              <w:t xml:space="preserve"> </w:t>
                            </w:r>
                            <w:r w:rsidRPr="00116F9C">
                              <w:rPr>
                                <w:sz w:val="18"/>
                                <w:szCs w:val="18"/>
                              </w:rPr>
                              <w:t>several categories of sustainability agreements</w:t>
                            </w:r>
                            <w:r w:rsidR="00806916" w:rsidRPr="00116F9C">
                              <w:rPr>
                                <w:sz w:val="18"/>
                                <w:szCs w:val="18"/>
                              </w:rPr>
                              <w:t xml:space="preserve"> </w:t>
                            </w:r>
                            <w:r w:rsidR="00CA7CB7">
                              <w:rPr>
                                <w:sz w:val="18"/>
                                <w:szCs w:val="18"/>
                              </w:rPr>
                              <w:t xml:space="preserve">are </w:t>
                            </w:r>
                            <w:r w:rsidR="00806916" w:rsidRPr="00116F9C">
                              <w:rPr>
                                <w:sz w:val="18"/>
                                <w:szCs w:val="18"/>
                              </w:rPr>
                              <w:t xml:space="preserve">with Union competition rules while ensuring effective protection of competition. </w:t>
                            </w:r>
                            <w:r w:rsidR="00CA7CB7">
                              <w:rPr>
                                <w:sz w:val="18"/>
                                <w:szCs w:val="18"/>
                              </w:rPr>
                              <w:t>T</w:t>
                            </w:r>
                            <w:r w:rsidRPr="00116F9C">
                              <w:rPr>
                                <w:sz w:val="18"/>
                                <w:szCs w:val="18"/>
                              </w:rPr>
                              <w:t xml:space="preserve">he Guidelines </w:t>
                            </w:r>
                            <w:r w:rsidR="00CA7CB7">
                              <w:rPr>
                                <w:sz w:val="18"/>
                                <w:szCs w:val="18"/>
                              </w:rPr>
                              <w:t xml:space="preserve">also </w:t>
                            </w:r>
                            <w:r w:rsidRPr="00116F9C">
                              <w:rPr>
                                <w:sz w:val="18"/>
                                <w:szCs w:val="18"/>
                              </w:rPr>
                              <w:t xml:space="preserve">provide concrete examples of how sustainability agreements can be designed to minimise the risk of restricting competition, </w:t>
                            </w:r>
                            <w:r w:rsidR="00806916" w:rsidRPr="00116F9C">
                              <w:rPr>
                                <w:sz w:val="18"/>
                                <w:szCs w:val="18"/>
                              </w:rPr>
                              <w:t xml:space="preserve">so as </w:t>
                            </w:r>
                            <w:r w:rsidR="009700FF" w:rsidRPr="00116F9C">
                              <w:rPr>
                                <w:sz w:val="18"/>
                                <w:szCs w:val="18"/>
                              </w:rPr>
                              <w:t xml:space="preserve">to make it easier for undertakings to cooperate in ways </w:t>
                            </w:r>
                            <w:r w:rsidR="00CA7CB7">
                              <w:rPr>
                                <w:sz w:val="18"/>
                                <w:szCs w:val="18"/>
                              </w:rPr>
                              <w:t>that</w:t>
                            </w:r>
                            <w:r w:rsidR="00CA7CB7" w:rsidRPr="00116F9C">
                              <w:rPr>
                                <w:sz w:val="18"/>
                                <w:szCs w:val="18"/>
                              </w:rPr>
                              <w:t xml:space="preserve"> </w:t>
                            </w:r>
                            <w:r w:rsidR="009700FF" w:rsidRPr="00116F9C">
                              <w:rPr>
                                <w:sz w:val="18"/>
                                <w:szCs w:val="18"/>
                              </w:rPr>
                              <w:t>are economically desirable, thereby contributing, for example, to green transitions and promoting the resilience of the internal market.</w:t>
                            </w:r>
                            <w:r w:rsidR="001465E4" w:rsidRPr="00116F9C">
                              <w:rPr>
                                <w:sz w:val="18"/>
                                <w:szCs w:val="18"/>
                              </w:rPr>
                              <w:t xml:space="preserve"> The guidelines will help the European Court of Justice, the European Commission and the national regulators interpret the prohibition on cartels.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423D5" id="Text Box 433921893" o:spid="_x0000_s1030" type="#_x0000_t202" style="position:absolute;left:0;text-align:left;margin-left:402.9pt;margin-top:83.9pt;width:454.1pt;height:261.55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" fillcolor="#deebf7" strokecolor="#5b9bd5" strokeweight=".5pt">
                <v:textbox>
                  <w:txbxContent>
                    <w:p w14:paraId="0F24664A" w14:textId="54DA3F55" w:rsidR="002C58A4" w:rsidRPr="00116F9C" w:rsidRDefault="002C58A4" w:rsidP="000F2F1A">
                      <w:pPr>
                        <w:rPr>
                          <w:b/>
                          <w:bCs/>
                          <w:sz w:val="18"/>
                          <w:szCs w:val="18"/>
                        </w:rPr>
                      </w:pPr>
                      <w:r w:rsidRPr="00116F9C">
                        <w:rPr>
                          <w:sz w:val="18"/>
                          <w:szCs w:val="18"/>
                        </w:rPr>
                        <w:t>Example 2.</w:t>
                      </w:r>
                      <w:r w:rsidRPr="00116F9C">
                        <w:rPr>
                          <w:b/>
                          <w:bCs/>
                          <w:sz w:val="18"/>
                          <w:szCs w:val="18"/>
                        </w:rPr>
                        <w:t xml:space="preserve"> </w:t>
                      </w:r>
                      <w:r w:rsidR="001A028D" w:rsidRPr="00116F9C">
                        <w:rPr>
                          <w:b/>
                          <w:bCs/>
                          <w:sz w:val="18"/>
                          <w:szCs w:val="18"/>
                        </w:rPr>
                        <w:t>G</w:t>
                      </w:r>
                      <w:r w:rsidRPr="00116F9C">
                        <w:rPr>
                          <w:b/>
                          <w:bCs/>
                          <w:sz w:val="18"/>
                          <w:szCs w:val="18"/>
                        </w:rPr>
                        <w:t xml:space="preserve">uidance </w:t>
                      </w:r>
                      <w:r w:rsidR="001A028D" w:rsidRPr="00116F9C">
                        <w:rPr>
                          <w:b/>
                          <w:bCs/>
                          <w:sz w:val="18"/>
                          <w:szCs w:val="18"/>
                        </w:rPr>
                        <w:t>on</w:t>
                      </w:r>
                      <w:r w:rsidR="007478FD" w:rsidRPr="00116F9C">
                        <w:rPr>
                          <w:b/>
                          <w:bCs/>
                          <w:sz w:val="18"/>
                          <w:szCs w:val="18"/>
                        </w:rPr>
                        <w:t xml:space="preserve"> </w:t>
                      </w:r>
                      <w:r w:rsidRPr="00116F9C">
                        <w:rPr>
                          <w:b/>
                          <w:bCs/>
                          <w:sz w:val="18"/>
                          <w:szCs w:val="18"/>
                        </w:rPr>
                        <w:t xml:space="preserve">what investor collaboration is permissible </w:t>
                      </w:r>
                    </w:p>
                    <w:bookmarkStart w:id="27" w:name="_Hlk156582501"/>
                    <w:p w14:paraId="45431DED" w14:textId="4FA658C8" w:rsidR="002C58A4" w:rsidRPr="00116F9C" w:rsidRDefault="00A46054" w:rsidP="000F2F1A">
                      <w:pPr>
                        <w:rPr>
                          <w:sz w:val="18"/>
                          <w:szCs w:val="18"/>
                        </w:rPr>
                      </w:pPr>
                      <w:r w:rsidRPr="00116F9C">
                        <w:rPr>
                          <w:sz w:val="18"/>
                          <w:szCs w:val="18"/>
                        </w:rPr>
                        <w:fldChar w:fldCharType="begin"/>
                      </w:r>
                      <w:r w:rsidRPr="00116F9C">
                        <w:rPr>
                          <w:sz w:val="18"/>
                          <w:szCs w:val="18"/>
                        </w:rPr>
                        <w:instrText>HYPERLINK "https://www.gov.uk/government/publications/guidance-on-environmental-sustainability-agreements"</w:instrText>
                      </w:r>
                      <w:r w:rsidRPr="00116F9C">
                        <w:rPr>
                          <w:sz w:val="18"/>
                          <w:szCs w:val="18"/>
                        </w:rPr>
                      </w:r>
                      <w:r w:rsidRPr="00116F9C">
                        <w:rPr>
                          <w:sz w:val="18"/>
                          <w:szCs w:val="18"/>
                        </w:rPr>
                        <w:fldChar w:fldCharType="separate"/>
                      </w:r>
                      <w:r w:rsidR="00C73455" w:rsidRPr="00116F9C">
                        <w:rPr>
                          <w:rStyle w:val="Hyperlink"/>
                          <w:b/>
                          <w:sz w:val="18"/>
                          <w:szCs w:val="18"/>
                        </w:rPr>
                        <w:t>UK CM</w:t>
                      </w:r>
                      <w:r w:rsidR="00ED5CF1" w:rsidRPr="00116F9C">
                        <w:rPr>
                          <w:rStyle w:val="Hyperlink"/>
                          <w:b/>
                          <w:sz w:val="18"/>
                          <w:szCs w:val="18"/>
                        </w:rPr>
                        <w:t>A</w:t>
                      </w:r>
                      <w:r w:rsidR="00C73455" w:rsidRPr="00116F9C">
                        <w:rPr>
                          <w:rStyle w:val="Hyperlink"/>
                          <w:b/>
                          <w:sz w:val="18"/>
                          <w:szCs w:val="18"/>
                        </w:rPr>
                        <w:t xml:space="preserve"> Green Agreements Guidance</w:t>
                      </w:r>
                      <w:r w:rsidRPr="00116F9C">
                        <w:rPr>
                          <w:sz w:val="18"/>
                          <w:szCs w:val="18"/>
                        </w:rPr>
                        <w:fldChar w:fldCharType="end"/>
                      </w:r>
                      <w:r w:rsidR="00C73455" w:rsidRPr="00116F9C">
                        <w:rPr>
                          <w:sz w:val="18"/>
                          <w:szCs w:val="18"/>
                        </w:rPr>
                        <w:t xml:space="preserve"> </w:t>
                      </w:r>
                      <w:r w:rsidR="00B714FC" w:rsidRPr="00116F9C">
                        <w:rPr>
                          <w:sz w:val="18"/>
                          <w:szCs w:val="18"/>
                        </w:rPr>
                        <w:t>(2023)</w:t>
                      </w:r>
                    </w:p>
                    <w:bookmarkEnd w:id="27"/>
                    <w:p w14:paraId="0274D691" w14:textId="2C34C0F3" w:rsidR="002C58A4" w:rsidRPr="00116F9C" w:rsidRDefault="002C58A4" w:rsidP="000F2F1A">
                      <w:pPr>
                        <w:rPr>
                          <w:bCs/>
                          <w:sz w:val="18"/>
                          <w:szCs w:val="18"/>
                        </w:rPr>
                      </w:pPr>
                      <w:r w:rsidRPr="00116F9C">
                        <w:rPr>
                          <w:bCs/>
                          <w:sz w:val="18"/>
                          <w:szCs w:val="18"/>
                        </w:rPr>
                        <w:t xml:space="preserve">The UK Competition and Markets Authority (CMA) published its </w:t>
                      </w:r>
                      <w:r w:rsidR="006461AE">
                        <w:rPr>
                          <w:bCs/>
                          <w:sz w:val="18"/>
                          <w:szCs w:val="18"/>
                        </w:rPr>
                        <w:t>‘</w:t>
                      </w:r>
                      <w:hyperlink r:id="rId30" w:tgtFrame="_blank" w:history="1">
                        <w:r w:rsidRPr="00116F9C">
                          <w:rPr>
                            <w:rStyle w:val="Hyperlink"/>
                            <w:bCs/>
                            <w:sz w:val="18"/>
                            <w:szCs w:val="18"/>
                          </w:rPr>
                          <w:t>Guidance</w:t>
                        </w:r>
                      </w:hyperlink>
                      <w:r w:rsidRPr="00116F9C">
                        <w:rPr>
                          <w:bCs/>
                          <w:sz w:val="18"/>
                          <w:szCs w:val="18"/>
                        </w:rPr>
                        <w:t> on the application of the Chapter I prohibition in the Competition Act 1998 to environmental sustainability agreements</w:t>
                      </w:r>
                      <w:r w:rsidR="006461AE">
                        <w:rPr>
                          <w:bCs/>
                          <w:sz w:val="18"/>
                          <w:szCs w:val="18"/>
                        </w:rPr>
                        <w:t>’</w:t>
                      </w:r>
                      <w:r w:rsidRPr="00116F9C">
                        <w:rPr>
                          <w:bCs/>
                          <w:sz w:val="18"/>
                          <w:szCs w:val="18"/>
                        </w:rPr>
                        <w:t xml:space="preserve"> (CMA Guidance). </w:t>
                      </w:r>
                    </w:p>
                    <w:p w14:paraId="57582D33" w14:textId="5EF3BC63" w:rsidR="002C58A4" w:rsidRPr="00116F9C" w:rsidRDefault="002C58A4" w:rsidP="000F2F1A">
                      <w:pPr>
                        <w:rPr>
                          <w:sz w:val="18"/>
                          <w:szCs w:val="18"/>
                        </w:rPr>
                      </w:pPr>
                      <w:r w:rsidRPr="00116F9C">
                        <w:rPr>
                          <w:sz w:val="18"/>
                          <w:szCs w:val="18"/>
                        </w:rPr>
                        <w:t xml:space="preserve">The CMA states that the guidance is intended to </w:t>
                      </w:r>
                      <w:r w:rsidR="006461AE">
                        <w:rPr>
                          <w:sz w:val="18"/>
                          <w:szCs w:val="18"/>
                        </w:rPr>
                        <w:t>‘</w:t>
                      </w:r>
                      <w:r w:rsidRPr="00116F9C">
                        <w:rPr>
                          <w:sz w:val="18"/>
                          <w:szCs w:val="18"/>
                        </w:rPr>
                        <w:t>ensure that competition law does not impede legitimate collaboration between businesses that is necessary for the promotion or protection of environmental sustainability.</w:t>
                      </w:r>
                      <w:r w:rsidR="006461AE">
                        <w:rPr>
                          <w:sz w:val="18"/>
                          <w:szCs w:val="18"/>
                        </w:rPr>
                        <w:t>’</w:t>
                      </w:r>
                      <w:r w:rsidRPr="00116F9C">
                        <w:rPr>
                          <w:sz w:val="18"/>
                          <w:szCs w:val="18"/>
                        </w:rPr>
                        <w:t xml:space="preserve"> More specifically, the CMA Guidance sets out how the prohibition on anticompetitive agreements among businesses applies to environmental sustainability agreements among competitors. </w:t>
                      </w:r>
                    </w:p>
                    <w:bookmarkStart w:id="28" w:name="_Hlk156582538"/>
                    <w:p w14:paraId="1EF4E413" w14:textId="6F169E73" w:rsidR="009700FF" w:rsidRPr="00116F9C" w:rsidRDefault="00A62C28" w:rsidP="000F2F1A">
                      <w:pPr>
                        <w:rPr>
                          <w:sz w:val="18"/>
                          <w:szCs w:val="18"/>
                        </w:rPr>
                      </w:pPr>
                      <w:r w:rsidRPr="00116F9C">
                        <w:rPr>
                          <w:sz w:val="18"/>
                          <w:szCs w:val="18"/>
                        </w:rPr>
                        <w:fldChar w:fldCharType="begin"/>
                      </w:r>
                      <w:r w:rsidRPr="00116F9C">
                        <w:rPr>
                          <w:sz w:val="18"/>
                          <w:szCs w:val="18"/>
                        </w:rPr>
                        <w:instrText>HYPERLINK "https://eur-lex.europa.eu/legal-content/EN/TXT/PDF/?uri=CELEX:52023XC0721(01)" \l ":~:text=Article%20101%20aims%20to%20ensure,undertakings%20and%20associations%20of%20undertakings."</w:instrText>
                      </w:r>
                      <w:r w:rsidRPr="00116F9C">
                        <w:rPr>
                          <w:sz w:val="18"/>
                          <w:szCs w:val="18"/>
                        </w:rPr>
                      </w:r>
                      <w:r w:rsidRPr="00116F9C">
                        <w:rPr>
                          <w:sz w:val="18"/>
                          <w:szCs w:val="18"/>
                        </w:rPr>
                        <w:fldChar w:fldCharType="separate"/>
                      </w:r>
                      <w:r w:rsidR="000B5DE5" w:rsidRPr="00116F9C">
                        <w:rPr>
                          <w:rStyle w:val="Hyperlink"/>
                          <w:b/>
                          <w:bCs/>
                          <w:sz w:val="18"/>
                          <w:szCs w:val="18"/>
                        </w:rPr>
                        <w:t>European Commission Guidelines on the applicability of Article 101 of the Treaty on the Functioning of European Union to horizontal co-operation agreements</w:t>
                      </w:r>
                      <w:r w:rsidRPr="00116F9C">
                        <w:rPr>
                          <w:sz w:val="18"/>
                          <w:szCs w:val="18"/>
                        </w:rPr>
                        <w:fldChar w:fldCharType="end"/>
                      </w:r>
                      <w:r w:rsidRPr="00116F9C">
                        <w:rPr>
                          <w:sz w:val="18"/>
                          <w:szCs w:val="18"/>
                        </w:rPr>
                        <w:t xml:space="preserve"> (2023)</w:t>
                      </w:r>
                      <w:bookmarkEnd w:id="28"/>
                      <w:r w:rsidR="000B5DE5" w:rsidRPr="00116F9C">
                        <w:rPr>
                          <w:sz w:val="18"/>
                          <w:szCs w:val="18"/>
                        </w:rPr>
                        <w:t xml:space="preserve"> </w:t>
                      </w:r>
                    </w:p>
                    <w:p w14:paraId="57286BA5" w14:textId="76D4E74F" w:rsidR="002C58A4" w:rsidRPr="00116F9C" w:rsidRDefault="00941680" w:rsidP="000F2F1A">
                      <w:pPr>
                        <w:rPr>
                          <w:sz w:val="18"/>
                          <w:szCs w:val="18"/>
                        </w:rPr>
                      </w:pPr>
                      <w:r w:rsidRPr="00116F9C">
                        <w:rPr>
                          <w:sz w:val="18"/>
                          <w:szCs w:val="18"/>
                        </w:rPr>
                        <w:t xml:space="preserve">In the Guidelines, the Commission provides guidance </w:t>
                      </w:r>
                      <w:r w:rsidR="00D73F9D" w:rsidRPr="00116F9C">
                        <w:rPr>
                          <w:sz w:val="18"/>
                          <w:szCs w:val="18"/>
                        </w:rPr>
                        <w:t xml:space="preserve">for investors to assess </w:t>
                      </w:r>
                      <w:r w:rsidR="00CA7CB7">
                        <w:rPr>
                          <w:sz w:val="18"/>
                          <w:szCs w:val="18"/>
                        </w:rPr>
                        <w:t xml:space="preserve">how </w:t>
                      </w:r>
                      <w:r w:rsidR="00806916" w:rsidRPr="00116F9C">
                        <w:rPr>
                          <w:sz w:val="18"/>
                          <w:szCs w:val="18"/>
                        </w:rPr>
                        <w:t>compatib</w:t>
                      </w:r>
                      <w:r w:rsidR="00CA7CB7">
                        <w:rPr>
                          <w:sz w:val="18"/>
                          <w:szCs w:val="18"/>
                        </w:rPr>
                        <w:t>le</w:t>
                      </w:r>
                      <w:r w:rsidR="00806916" w:rsidRPr="00116F9C">
                        <w:rPr>
                          <w:sz w:val="18"/>
                          <w:szCs w:val="18"/>
                        </w:rPr>
                        <w:t xml:space="preserve"> </w:t>
                      </w:r>
                      <w:r w:rsidRPr="00116F9C">
                        <w:rPr>
                          <w:sz w:val="18"/>
                          <w:szCs w:val="18"/>
                        </w:rPr>
                        <w:t>several categories of sustainability agreements</w:t>
                      </w:r>
                      <w:r w:rsidR="00806916" w:rsidRPr="00116F9C">
                        <w:rPr>
                          <w:sz w:val="18"/>
                          <w:szCs w:val="18"/>
                        </w:rPr>
                        <w:t xml:space="preserve"> </w:t>
                      </w:r>
                      <w:r w:rsidR="00CA7CB7">
                        <w:rPr>
                          <w:sz w:val="18"/>
                          <w:szCs w:val="18"/>
                        </w:rPr>
                        <w:t xml:space="preserve">are </w:t>
                      </w:r>
                      <w:r w:rsidR="00806916" w:rsidRPr="00116F9C">
                        <w:rPr>
                          <w:sz w:val="18"/>
                          <w:szCs w:val="18"/>
                        </w:rPr>
                        <w:t xml:space="preserve">with Union competition rules while ensuring effective protection of competition. </w:t>
                      </w:r>
                      <w:r w:rsidR="00CA7CB7">
                        <w:rPr>
                          <w:sz w:val="18"/>
                          <w:szCs w:val="18"/>
                        </w:rPr>
                        <w:t>T</w:t>
                      </w:r>
                      <w:r w:rsidRPr="00116F9C">
                        <w:rPr>
                          <w:sz w:val="18"/>
                          <w:szCs w:val="18"/>
                        </w:rPr>
                        <w:t xml:space="preserve">he Guidelines </w:t>
                      </w:r>
                      <w:r w:rsidR="00CA7CB7">
                        <w:rPr>
                          <w:sz w:val="18"/>
                          <w:szCs w:val="18"/>
                        </w:rPr>
                        <w:t xml:space="preserve">also </w:t>
                      </w:r>
                      <w:r w:rsidRPr="00116F9C">
                        <w:rPr>
                          <w:sz w:val="18"/>
                          <w:szCs w:val="18"/>
                        </w:rPr>
                        <w:t xml:space="preserve">provide concrete examples of how sustainability agreements can be designed to minimise the risk of restricting competition, </w:t>
                      </w:r>
                      <w:proofErr w:type="gramStart"/>
                      <w:r w:rsidR="00806916" w:rsidRPr="00116F9C">
                        <w:rPr>
                          <w:sz w:val="18"/>
                          <w:szCs w:val="18"/>
                        </w:rPr>
                        <w:t xml:space="preserve">so as </w:t>
                      </w:r>
                      <w:r w:rsidR="009700FF" w:rsidRPr="00116F9C">
                        <w:rPr>
                          <w:sz w:val="18"/>
                          <w:szCs w:val="18"/>
                        </w:rPr>
                        <w:t>to</w:t>
                      </w:r>
                      <w:proofErr w:type="gramEnd"/>
                      <w:r w:rsidR="009700FF" w:rsidRPr="00116F9C">
                        <w:rPr>
                          <w:sz w:val="18"/>
                          <w:szCs w:val="18"/>
                        </w:rPr>
                        <w:t xml:space="preserve"> make it easier for undertakings to cooperate in ways </w:t>
                      </w:r>
                      <w:r w:rsidR="00CA7CB7">
                        <w:rPr>
                          <w:sz w:val="18"/>
                          <w:szCs w:val="18"/>
                        </w:rPr>
                        <w:t>that</w:t>
                      </w:r>
                      <w:r w:rsidR="00CA7CB7" w:rsidRPr="00116F9C">
                        <w:rPr>
                          <w:sz w:val="18"/>
                          <w:szCs w:val="18"/>
                        </w:rPr>
                        <w:t xml:space="preserve"> </w:t>
                      </w:r>
                      <w:r w:rsidR="009700FF" w:rsidRPr="00116F9C">
                        <w:rPr>
                          <w:sz w:val="18"/>
                          <w:szCs w:val="18"/>
                        </w:rPr>
                        <w:t>are economically desirable, thereby contributing, for example, to green transitions and promoting the resilience of the internal market.</w:t>
                      </w:r>
                      <w:r w:rsidR="001465E4" w:rsidRPr="00116F9C">
                        <w:rPr>
                          <w:sz w:val="18"/>
                          <w:szCs w:val="18"/>
                        </w:rPr>
                        <w:t xml:space="preserve"> The guidelines will help the European Court of Justice, the European Commission and the national regulators interpret the prohibition on cartels.</w:t>
                      </w:r>
                    </w:p>
                  </w:txbxContent>
                </v:textbox>
                <w10:wrap type="tight" anchorx="margin"/>
              </v:shape>
            </w:pict>
          </mc:Fallback>
        </mc:AlternateContent>
      </w:r>
      <w:r w:rsidR="00404F5E" w:rsidRPr="00D00FFA">
        <w:rPr>
          <w:rStyle w:val="normaltextrun"/>
          <w:rFonts w:eastAsiaTheme="majorEastAsia"/>
          <w:color w:val="auto"/>
          <w:shd w:val="clear" w:color="auto" w:fill="FFFFFF"/>
        </w:rPr>
        <w:t>C</w:t>
      </w:r>
      <w:r w:rsidR="005A2446" w:rsidRPr="00D00FFA">
        <w:rPr>
          <w:rStyle w:val="normaltextrun"/>
          <w:rFonts w:eastAsiaTheme="majorEastAsia"/>
          <w:color w:val="auto"/>
          <w:shd w:val="clear" w:color="auto" w:fill="FFFFFF"/>
        </w:rPr>
        <w:t xml:space="preserve">ompetition regulation (and regulatory bodies) should more clearly accommodate the changes to business practice </w:t>
      </w:r>
      <w:r w:rsidR="004A3A09" w:rsidRPr="00D00FFA">
        <w:rPr>
          <w:rStyle w:val="normaltextrun"/>
          <w:rFonts w:eastAsiaTheme="majorEastAsia"/>
          <w:color w:val="auto"/>
          <w:shd w:val="clear" w:color="auto" w:fill="FFFFFF"/>
        </w:rPr>
        <w:t xml:space="preserve">that </w:t>
      </w:r>
      <w:r w:rsidR="005A2446" w:rsidRPr="00D00FFA">
        <w:rPr>
          <w:rStyle w:val="normaltextrun"/>
          <w:rFonts w:eastAsiaTheme="majorEastAsia"/>
          <w:color w:val="auto"/>
          <w:shd w:val="clear" w:color="auto" w:fill="FFFFFF"/>
        </w:rPr>
        <w:t>are needed to urgently address climate, environmental</w:t>
      </w:r>
      <w:r w:rsidR="004A3A09" w:rsidRPr="00D00FFA">
        <w:rPr>
          <w:rStyle w:val="normaltextrun"/>
          <w:rFonts w:eastAsiaTheme="majorEastAsia"/>
          <w:color w:val="auto"/>
          <w:shd w:val="clear" w:color="auto" w:fill="FFFFFF"/>
        </w:rPr>
        <w:t>,</w:t>
      </w:r>
      <w:r w:rsidR="005A2446" w:rsidRPr="00D00FFA">
        <w:rPr>
          <w:rStyle w:val="normaltextrun"/>
          <w:rFonts w:eastAsiaTheme="majorEastAsia"/>
          <w:color w:val="auto"/>
          <w:shd w:val="clear" w:color="auto" w:fill="FFFFFF"/>
        </w:rPr>
        <w:t xml:space="preserve"> and social risks and issues. Particularly, safe harbour clauses could be introduced to specify that certain activities would be deemed allowable</w:t>
      </w:r>
      <w:r w:rsidR="005A2446" w:rsidRPr="00D00FFA">
        <w:rPr>
          <w:rStyle w:val="normaltextrun"/>
          <w:rFonts w:eastAsiaTheme="majorEastAsia"/>
          <w:color w:val="auto"/>
        </w:rPr>
        <w:t>,</w:t>
      </w:r>
      <w:r w:rsidR="005A2446" w:rsidRPr="00D00FFA">
        <w:rPr>
          <w:rStyle w:val="normaltextrun"/>
          <w:rFonts w:eastAsiaTheme="majorEastAsia"/>
          <w:color w:val="auto"/>
          <w:shd w:val="clear" w:color="auto" w:fill="FFFFFF"/>
        </w:rPr>
        <w:t xml:space="preserve"> provided their objectives are related to </w:t>
      </w:r>
      <w:r w:rsidR="004A3A09" w:rsidRPr="00D00FFA">
        <w:rPr>
          <w:rStyle w:val="normaltextrun"/>
          <w:rFonts w:eastAsiaTheme="majorEastAsia"/>
          <w:color w:val="auto"/>
          <w:shd w:val="clear" w:color="auto" w:fill="FFFFFF"/>
        </w:rPr>
        <w:t xml:space="preserve">the </w:t>
      </w:r>
      <w:r w:rsidR="005A2446" w:rsidRPr="00D00FFA">
        <w:rPr>
          <w:rStyle w:val="normaltextrun"/>
          <w:rFonts w:eastAsiaTheme="majorEastAsia"/>
          <w:color w:val="auto"/>
          <w:shd w:val="clear" w:color="auto" w:fill="FFFFFF"/>
        </w:rPr>
        <w:t xml:space="preserve">advancement of or alignment with sustainability objectives and </w:t>
      </w:r>
      <w:r w:rsidR="005A2446" w:rsidRPr="00D00FFA">
        <w:rPr>
          <w:rStyle w:val="normaltextrun"/>
          <w:rFonts w:eastAsiaTheme="majorEastAsia"/>
          <w:color w:val="000000"/>
          <w:shd w:val="clear" w:color="auto" w:fill="FFFFFF"/>
        </w:rPr>
        <w:t>public policy goals.</w:t>
      </w:r>
      <w:r w:rsidR="005A2446" w:rsidRPr="00F8177B">
        <w:rPr>
          <w:rStyle w:val="eop"/>
          <w:rFonts w:eastAsiaTheme="majorEastAsia"/>
          <w:color w:val="000000"/>
        </w:rPr>
        <w:t> </w:t>
      </w:r>
    </w:p>
    <w:p w14:paraId="3FCBB414" w14:textId="77777777" w:rsidR="00943E3E" w:rsidRPr="00F8177B" w:rsidRDefault="00943E3E">
      <w:pPr>
        <w:spacing w:before="0" w:after="160" w:line="259" w:lineRule="auto"/>
      </w:pPr>
      <w:r w:rsidRPr="00F8177B">
        <w:br w:type="page"/>
      </w:r>
    </w:p>
    <w:p w14:paraId="4302768D" w14:textId="0F83E6DD" w:rsidR="00943E3E" w:rsidRPr="00F8177B" w:rsidRDefault="00943E3E" w:rsidP="001818F2">
      <w:r w:rsidRPr="00F8177B">
        <w:rPr>
          <w:noProof/>
        </w:rPr>
        <w:lastRenderedPageBreak/>
        <mc:AlternateContent>
          <mc:Choice Requires="wps">
            <w:drawing>
              <wp:anchor distT="0" distB="0" distL="114300" distR="114300" simplePos="0" relativeHeight="251658243" behindDoc="1" locked="0" layoutInCell="1" allowOverlap="1" wp14:anchorId="3694A5DB" wp14:editId="523C7830">
                <wp:simplePos x="0" y="0"/>
                <wp:positionH relativeFrom="margin">
                  <wp:align>right</wp:align>
                </wp:positionH>
                <wp:positionV relativeFrom="paragraph">
                  <wp:posOffset>3660228</wp:posOffset>
                </wp:positionV>
                <wp:extent cx="5767070" cy="3194050"/>
                <wp:effectExtent l="0" t="0" r="24130" b="25400"/>
                <wp:wrapTopAndBottom/>
                <wp:docPr id="670597749" name="Text Box 670597749"/>
                <wp:cNvGraphicFramePr/>
                <a:graphic xmlns:a="http://schemas.openxmlformats.org/drawingml/2006/main">
                  <a:graphicData uri="http://schemas.microsoft.com/office/word/2010/wordprocessingShape">
                    <wps:wsp>
                      <wps:cNvSpPr txBox="1"/>
                      <wps:spPr>
                        <a:xfrm>
                          <a:off x="0" y="0"/>
                          <a:ext cx="5767070" cy="3194050"/>
                        </a:xfrm>
                        <a:prstGeom prst="rect">
                          <a:avLst/>
                        </a:prstGeom>
                        <a:solidFill>
                          <a:srgbClr val="5B9BD5">
                            <a:lumMod val="20000"/>
                            <a:lumOff val="80000"/>
                          </a:srgbClr>
                        </a:solidFill>
                        <a:ln w="6350">
                          <a:solidFill>
                            <a:srgbClr val="5B9BD5"/>
                          </a:solidFill>
                        </a:ln>
                      </wps:spPr>
                      <wps:txbx>
                        <w:txbxContent>
                          <w:p w14:paraId="2F394D48" w14:textId="2043E2F2" w:rsidR="00CC1839" w:rsidRPr="00F65D7B" w:rsidRDefault="00CC1839" w:rsidP="000F2F1A">
                            <w:pPr>
                              <w:rPr>
                                <w:sz w:val="18"/>
                                <w:szCs w:val="18"/>
                              </w:rPr>
                            </w:pPr>
                            <w:r w:rsidRPr="00F65D7B">
                              <w:rPr>
                                <w:sz w:val="18"/>
                                <w:szCs w:val="18"/>
                              </w:rPr>
                              <w:t xml:space="preserve">Example </w:t>
                            </w:r>
                            <w:r w:rsidR="00386CCF" w:rsidRPr="00F65D7B">
                              <w:rPr>
                                <w:sz w:val="18"/>
                                <w:szCs w:val="18"/>
                              </w:rPr>
                              <w:t>4</w:t>
                            </w:r>
                            <w:r w:rsidRPr="00F65D7B">
                              <w:rPr>
                                <w:sz w:val="18"/>
                                <w:szCs w:val="18"/>
                              </w:rPr>
                              <w:t xml:space="preserve">. </w:t>
                            </w:r>
                            <w:r w:rsidRPr="00F65D7B">
                              <w:rPr>
                                <w:b/>
                                <w:bCs/>
                                <w:sz w:val="18"/>
                                <w:szCs w:val="18"/>
                              </w:rPr>
                              <w:t>Safe harbour</w:t>
                            </w:r>
                            <w:r w:rsidRPr="00F65D7B">
                              <w:rPr>
                                <w:sz w:val="18"/>
                                <w:szCs w:val="18"/>
                              </w:rPr>
                              <w:t xml:space="preserve"> </w:t>
                            </w:r>
                          </w:p>
                          <w:p w14:paraId="4B23BAAD" w14:textId="77777777" w:rsidR="004C1111" w:rsidRPr="00F65D7B" w:rsidRDefault="00000000" w:rsidP="000F2F1A">
                            <w:pPr>
                              <w:rPr>
                                <w:b/>
                                <w:sz w:val="18"/>
                                <w:szCs w:val="18"/>
                              </w:rPr>
                            </w:pPr>
                            <w:hyperlink r:id="rId31" w:history="1">
                              <w:r w:rsidR="004C1111" w:rsidRPr="00F65D7B">
                                <w:rPr>
                                  <w:rStyle w:val="Hyperlink"/>
                                  <w:b/>
                                  <w:sz w:val="18"/>
                                  <w:szCs w:val="18"/>
                                </w:rPr>
                                <w:t>UK CMA Green Agreements Guidance</w:t>
                              </w:r>
                            </w:hyperlink>
                            <w:r w:rsidR="004C1111" w:rsidRPr="00F65D7B">
                              <w:rPr>
                                <w:b/>
                                <w:sz w:val="18"/>
                                <w:szCs w:val="18"/>
                              </w:rPr>
                              <w:t xml:space="preserve"> (2023)</w:t>
                            </w:r>
                          </w:p>
                          <w:p w14:paraId="278C1423" w14:textId="1B502D77" w:rsidR="006D0EE9" w:rsidRPr="00F65D7B" w:rsidRDefault="00037A3D" w:rsidP="000F2F1A">
                            <w:pPr>
                              <w:rPr>
                                <w:sz w:val="18"/>
                                <w:szCs w:val="18"/>
                              </w:rPr>
                            </w:pPr>
                            <w:r w:rsidRPr="00F65D7B">
                              <w:rPr>
                                <w:sz w:val="18"/>
                                <w:szCs w:val="18"/>
                              </w:rPr>
                              <w:t xml:space="preserve">The CMA Guidance sets out how </w:t>
                            </w:r>
                            <w:r w:rsidR="00F67F88" w:rsidRPr="00F65D7B">
                              <w:rPr>
                                <w:sz w:val="18"/>
                                <w:szCs w:val="18"/>
                              </w:rPr>
                              <w:t xml:space="preserve">exemptions are likely to be applied to environmentally sustainable agreements. </w:t>
                            </w:r>
                          </w:p>
                          <w:p w14:paraId="06790E81" w14:textId="7F5EC737" w:rsidR="00BB37C0" w:rsidRPr="00F65D7B" w:rsidRDefault="00BB37C0" w:rsidP="000F2F1A">
                            <w:pPr>
                              <w:rPr>
                                <w:sz w:val="18"/>
                                <w:szCs w:val="18"/>
                              </w:rPr>
                            </w:pPr>
                            <w:r w:rsidRPr="00F65D7B">
                              <w:rPr>
                                <w:sz w:val="18"/>
                                <w:szCs w:val="18"/>
                              </w:rPr>
                              <w:t xml:space="preserve">More broadly, the CMA Guidance also emphasized that by-object restrictions may nevertheless meet the exemption conditions and that parties to such agreements </w:t>
                            </w:r>
                            <w:r w:rsidR="006461AE">
                              <w:rPr>
                                <w:sz w:val="18"/>
                                <w:szCs w:val="18"/>
                              </w:rPr>
                              <w:t>‘</w:t>
                            </w:r>
                            <w:r w:rsidRPr="00F65D7B">
                              <w:rPr>
                                <w:sz w:val="18"/>
                                <w:szCs w:val="18"/>
                              </w:rPr>
                              <w:t>should not automatically assume that they are prohibited.</w:t>
                            </w:r>
                            <w:r w:rsidR="006461AE">
                              <w:rPr>
                                <w:sz w:val="18"/>
                                <w:szCs w:val="18"/>
                              </w:rPr>
                              <w:t>’</w:t>
                            </w:r>
                          </w:p>
                          <w:p w14:paraId="4853F963" w14:textId="7C6E0504" w:rsidR="00680A61" w:rsidRPr="00F65D7B" w:rsidRDefault="00680A61" w:rsidP="000F2F1A">
                            <w:pPr>
                              <w:rPr>
                                <w:sz w:val="18"/>
                                <w:szCs w:val="18"/>
                              </w:rPr>
                            </w:pPr>
                            <w:r w:rsidRPr="00F65D7B">
                              <w:rPr>
                                <w:sz w:val="18"/>
                                <w:szCs w:val="18"/>
                              </w:rPr>
                              <w:t>The Guidance sets out a more permissive approach to exemption</w:t>
                            </w:r>
                            <w:r w:rsidR="00CA7CB7">
                              <w:rPr>
                                <w:sz w:val="18"/>
                                <w:szCs w:val="18"/>
                              </w:rPr>
                              <w:t>s</w:t>
                            </w:r>
                            <w:r w:rsidRPr="00F65D7B">
                              <w:rPr>
                                <w:sz w:val="18"/>
                                <w:szCs w:val="18"/>
                              </w:rPr>
                              <w:t xml:space="preserve"> for climate change agreements by taking account of the benefits to all UK consumers, instead of only the consumers in the relevant market, when balancing the harm to competition against the benefits that result from the agreement. </w:t>
                            </w:r>
                          </w:p>
                          <w:p w14:paraId="341FC4D1" w14:textId="77777777" w:rsidR="004C1111" w:rsidRPr="00F65D7B" w:rsidRDefault="00000000" w:rsidP="000F2F1A">
                            <w:pPr>
                              <w:rPr>
                                <w:b/>
                                <w:bCs/>
                                <w:sz w:val="18"/>
                                <w:szCs w:val="18"/>
                              </w:rPr>
                            </w:pPr>
                            <w:hyperlink r:id="rId32" w:anchor=":~:text=Article%20101%20aims%20to%20ensure,undertakings%20and%20associations%20of%20undertakings." w:history="1">
                              <w:r w:rsidR="004C1111" w:rsidRPr="00F65D7B">
                                <w:rPr>
                                  <w:rStyle w:val="Hyperlink"/>
                                  <w:b/>
                                  <w:bCs/>
                                  <w:sz w:val="18"/>
                                  <w:szCs w:val="18"/>
                                </w:rPr>
                                <w:t>European Commission Guidelines on the applicability of Article 101 of the Treaty on the Functioning of European Union to horizontal co-operation agreements</w:t>
                              </w:r>
                            </w:hyperlink>
                            <w:r w:rsidR="004C1111" w:rsidRPr="00F65D7B">
                              <w:rPr>
                                <w:b/>
                                <w:bCs/>
                                <w:sz w:val="18"/>
                                <w:szCs w:val="18"/>
                              </w:rPr>
                              <w:t xml:space="preserve"> (2023)</w:t>
                            </w:r>
                          </w:p>
                          <w:p w14:paraId="3F9A68DA" w14:textId="2507395C" w:rsidR="00CC1839" w:rsidRPr="00F65D7B" w:rsidRDefault="00F02E88" w:rsidP="000F2F1A">
                            <w:pPr>
                              <w:rPr>
                                <w:sz w:val="18"/>
                                <w:szCs w:val="18"/>
                                <w:lang w:val="en-AU"/>
                              </w:rPr>
                            </w:pPr>
                            <w:r w:rsidRPr="00F65D7B">
                              <w:rPr>
                                <w:sz w:val="18"/>
                                <w:szCs w:val="18"/>
                              </w:rPr>
                              <w:t>T</w:t>
                            </w:r>
                            <w:r w:rsidR="00630AF9" w:rsidRPr="00F65D7B">
                              <w:rPr>
                                <w:sz w:val="18"/>
                                <w:szCs w:val="18"/>
                              </w:rPr>
                              <w:t xml:space="preserve">he EC will put in place a soft safe harbour for companies </w:t>
                            </w:r>
                            <w:r w:rsidR="00CA7CB7">
                              <w:rPr>
                                <w:sz w:val="18"/>
                                <w:szCs w:val="18"/>
                              </w:rPr>
                              <w:t>that</w:t>
                            </w:r>
                            <w:r w:rsidR="00CA7CB7" w:rsidRPr="00F65D7B">
                              <w:rPr>
                                <w:sz w:val="18"/>
                                <w:szCs w:val="18"/>
                              </w:rPr>
                              <w:t xml:space="preserve"> </w:t>
                            </w:r>
                            <w:r w:rsidR="00630AF9" w:rsidRPr="00F65D7B">
                              <w:rPr>
                                <w:sz w:val="18"/>
                                <w:szCs w:val="18"/>
                              </w:rPr>
                              <w:t>collaborat</w:t>
                            </w:r>
                            <w:r w:rsidR="00CA7CB7">
                              <w:rPr>
                                <w:sz w:val="18"/>
                                <w:szCs w:val="18"/>
                              </w:rPr>
                              <w:t>e</w:t>
                            </w:r>
                            <w:r w:rsidR="00630AF9" w:rsidRPr="00F65D7B">
                              <w:rPr>
                                <w:sz w:val="18"/>
                                <w:szCs w:val="18"/>
                              </w:rPr>
                              <w:t xml:space="preserve"> to solve sustainability issues. Companies can enter into sustainability standardisation agreements (SSAs) even if such collaborations would push up prices. SSAs are agreements between competitors to adopt and comply with certain sustainability standards.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A5DB" id="Text Box 670597749" o:spid="_x0000_s1031" type="#_x0000_t202" style="position:absolute;margin-left:402.9pt;margin-top:288.2pt;width:454.1pt;height:251.5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" fillcolor="#deebf7" strokecolor="#5b9bd5" strokeweight=".5pt">
                <v:textbox>
                  <w:txbxContent>
                    <w:p w14:paraId="2F394D48" w14:textId="2043E2F2" w:rsidR="00CC1839" w:rsidRPr="00F65D7B" w:rsidRDefault="00CC1839" w:rsidP="000F2F1A">
                      <w:pPr>
                        <w:rPr>
                          <w:sz w:val="18"/>
                          <w:szCs w:val="18"/>
                        </w:rPr>
                      </w:pPr>
                      <w:r w:rsidRPr="00F65D7B">
                        <w:rPr>
                          <w:sz w:val="18"/>
                          <w:szCs w:val="18"/>
                        </w:rPr>
                        <w:t xml:space="preserve">Example </w:t>
                      </w:r>
                      <w:r w:rsidR="00386CCF" w:rsidRPr="00F65D7B">
                        <w:rPr>
                          <w:sz w:val="18"/>
                          <w:szCs w:val="18"/>
                        </w:rPr>
                        <w:t>4</w:t>
                      </w:r>
                      <w:r w:rsidRPr="00F65D7B">
                        <w:rPr>
                          <w:sz w:val="18"/>
                          <w:szCs w:val="18"/>
                        </w:rPr>
                        <w:t xml:space="preserve">. </w:t>
                      </w:r>
                      <w:r w:rsidRPr="00F65D7B">
                        <w:rPr>
                          <w:b/>
                          <w:bCs/>
                          <w:sz w:val="18"/>
                          <w:szCs w:val="18"/>
                        </w:rPr>
                        <w:t>Safe harbour</w:t>
                      </w:r>
                      <w:r w:rsidRPr="00F65D7B">
                        <w:rPr>
                          <w:sz w:val="18"/>
                          <w:szCs w:val="18"/>
                        </w:rPr>
                        <w:t xml:space="preserve"> </w:t>
                      </w:r>
                    </w:p>
                    <w:p w14:paraId="4B23BAAD" w14:textId="77777777" w:rsidR="004C1111" w:rsidRPr="00F65D7B" w:rsidRDefault="008540D4" w:rsidP="000F2F1A">
                      <w:pPr>
                        <w:rPr>
                          <w:b/>
                          <w:sz w:val="18"/>
                          <w:szCs w:val="18"/>
                        </w:rPr>
                      </w:pPr>
                      <w:hyperlink r:id="rId33" w:history="1">
                        <w:r w:rsidR="004C1111" w:rsidRPr="00F65D7B">
                          <w:rPr>
                            <w:rStyle w:val="Hyperlink"/>
                            <w:b/>
                            <w:sz w:val="18"/>
                            <w:szCs w:val="18"/>
                          </w:rPr>
                          <w:t>UK CMA Green Agreements Guidance</w:t>
                        </w:r>
                      </w:hyperlink>
                      <w:r w:rsidR="004C1111" w:rsidRPr="00F65D7B">
                        <w:rPr>
                          <w:b/>
                          <w:sz w:val="18"/>
                          <w:szCs w:val="18"/>
                        </w:rPr>
                        <w:t xml:space="preserve"> (2023)</w:t>
                      </w:r>
                    </w:p>
                    <w:p w14:paraId="278C1423" w14:textId="1B502D77" w:rsidR="006D0EE9" w:rsidRPr="00F65D7B" w:rsidRDefault="00037A3D" w:rsidP="000F2F1A">
                      <w:pPr>
                        <w:rPr>
                          <w:sz w:val="18"/>
                          <w:szCs w:val="18"/>
                        </w:rPr>
                      </w:pPr>
                      <w:r w:rsidRPr="00F65D7B">
                        <w:rPr>
                          <w:sz w:val="18"/>
                          <w:szCs w:val="18"/>
                        </w:rPr>
                        <w:t xml:space="preserve">The CMA Guidance sets out how </w:t>
                      </w:r>
                      <w:r w:rsidR="00F67F88" w:rsidRPr="00F65D7B">
                        <w:rPr>
                          <w:sz w:val="18"/>
                          <w:szCs w:val="18"/>
                        </w:rPr>
                        <w:t xml:space="preserve">exemptions are likely to be applied to environmentally sustainable agreements. </w:t>
                      </w:r>
                    </w:p>
                    <w:p w14:paraId="06790E81" w14:textId="7F5EC737" w:rsidR="00BB37C0" w:rsidRPr="00F65D7B" w:rsidRDefault="00BB37C0" w:rsidP="000F2F1A">
                      <w:pPr>
                        <w:rPr>
                          <w:sz w:val="18"/>
                          <w:szCs w:val="18"/>
                        </w:rPr>
                      </w:pPr>
                      <w:r w:rsidRPr="00F65D7B">
                        <w:rPr>
                          <w:sz w:val="18"/>
                          <w:szCs w:val="18"/>
                        </w:rPr>
                        <w:t xml:space="preserve">More broadly, the CMA Guidance also emphasized that by-object restrictions may nevertheless meet the exemption conditions and that parties to such agreements </w:t>
                      </w:r>
                      <w:r w:rsidR="006461AE">
                        <w:rPr>
                          <w:sz w:val="18"/>
                          <w:szCs w:val="18"/>
                        </w:rPr>
                        <w:t>‘</w:t>
                      </w:r>
                      <w:r w:rsidRPr="00F65D7B">
                        <w:rPr>
                          <w:sz w:val="18"/>
                          <w:szCs w:val="18"/>
                        </w:rPr>
                        <w:t>should not automatically assume that they are prohibited.</w:t>
                      </w:r>
                      <w:r w:rsidR="006461AE">
                        <w:rPr>
                          <w:sz w:val="18"/>
                          <w:szCs w:val="18"/>
                        </w:rPr>
                        <w:t>’</w:t>
                      </w:r>
                    </w:p>
                    <w:p w14:paraId="4853F963" w14:textId="7C6E0504" w:rsidR="00680A61" w:rsidRPr="00F65D7B" w:rsidRDefault="00680A61" w:rsidP="000F2F1A">
                      <w:pPr>
                        <w:rPr>
                          <w:sz w:val="18"/>
                          <w:szCs w:val="18"/>
                        </w:rPr>
                      </w:pPr>
                      <w:r w:rsidRPr="00F65D7B">
                        <w:rPr>
                          <w:sz w:val="18"/>
                          <w:szCs w:val="18"/>
                        </w:rPr>
                        <w:t>The Guidance sets out a more permissive approach to exemption</w:t>
                      </w:r>
                      <w:r w:rsidR="00CA7CB7">
                        <w:rPr>
                          <w:sz w:val="18"/>
                          <w:szCs w:val="18"/>
                        </w:rPr>
                        <w:t>s</w:t>
                      </w:r>
                      <w:r w:rsidRPr="00F65D7B">
                        <w:rPr>
                          <w:sz w:val="18"/>
                          <w:szCs w:val="18"/>
                        </w:rPr>
                        <w:t xml:space="preserve"> for climate change agreements by taking account of the benefits to all UK consumers, instead of only the consumers in the relevant market, when balancing the harm to competition against the benefits that result from the agreement. </w:t>
                      </w:r>
                    </w:p>
                    <w:p w14:paraId="341FC4D1" w14:textId="77777777" w:rsidR="004C1111" w:rsidRPr="00F65D7B" w:rsidRDefault="008540D4" w:rsidP="000F2F1A">
                      <w:pPr>
                        <w:rPr>
                          <w:b/>
                          <w:bCs/>
                          <w:sz w:val="18"/>
                          <w:szCs w:val="18"/>
                        </w:rPr>
                      </w:pPr>
                      <w:hyperlink r:id="rId34" w:anchor=":~:text=Article%20101%20aims%20to%20ensure,undertakings%20and%20associations%20of%20undertakings." w:history="1">
                        <w:r w:rsidR="004C1111" w:rsidRPr="00F65D7B">
                          <w:rPr>
                            <w:rStyle w:val="Hyperlink"/>
                            <w:b/>
                            <w:bCs/>
                            <w:sz w:val="18"/>
                            <w:szCs w:val="18"/>
                          </w:rPr>
                          <w:t>European Commission Guidelines on the applicability of Article 101 of the Treaty on the Functioning of European Union to horizontal co-operation agreements</w:t>
                        </w:r>
                      </w:hyperlink>
                      <w:r w:rsidR="004C1111" w:rsidRPr="00F65D7B">
                        <w:rPr>
                          <w:b/>
                          <w:bCs/>
                          <w:sz w:val="18"/>
                          <w:szCs w:val="18"/>
                        </w:rPr>
                        <w:t xml:space="preserve"> (2023)</w:t>
                      </w:r>
                    </w:p>
                    <w:p w14:paraId="3F9A68DA" w14:textId="2507395C" w:rsidR="00CC1839" w:rsidRPr="00F65D7B" w:rsidRDefault="00F02E88" w:rsidP="000F2F1A">
                      <w:pPr>
                        <w:rPr>
                          <w:sz w:val="18"/>
                          <w:szCs w:val="18"/>
                          <w:lang w:val="en-AU"/>
                        </w:rPr>
                      </w:pPr>
                      <w:r w:rsidRPr="00F65D7B">
                        <w:rPr>
                          <w:sz w:val="18"/>
                          <w:szCs w:val="18"/>
                        </w:rPr>
                        <w:t>T</w:t>
                      </w:r>
                      <w:r w:rsidR="00630AF9" w:rsidRPr="00F65D7B">
                        <w:rPr>
                          <w:sz w:val="18"/>
                          <w:szCs w:val="18"/>
                        </w:rPr>
                        <w:t xml:space="preserve">he EC will put in place a soft safe harbour for companies </w:t>
                      </w:r>
                      <w:r w:rsidR="00CA7CB7">
                        <w:rPr>
                          <w:sz w:val="18"/>
                          <w:szCs w:val="18"/>
                        </w:rPr>
                        <w:t>that</w:t>
                      </w:r>
                      <w:r w:rsidR="00CA7CB7" w:rsidRPr="00F65D7B">
                        <w:rPr>
                          <w:sz w:val="18"/>
                          <w:szCs w:val="18"/>
                        </w:rPr>
                        <w:t xml:space="preserve"> </w:t>
                      </w:r>
                      <w:r w:rsidR="00630AF9" w:rsidRPr="00F65D7B">
                        <w:rPr>
                          <w:sz w:val="18"/>
                          <w:szCs w:val="18"/>
                        </w:rPr>
                        <w:t>collaborat</w:t>
                      </w:r>
                      <w:r w:rsidR="00CA7CB7">
                        <w:rPr>
                          <w:sz w:val="18"/>
                          <w:szCs w:val="18"/>
                        </w:rPr>
                        <w:t>e</w:t>
                      </w:r>
                      <w:r w:rsidR="00630AF9" w:rsidRPr="00F65D7B">
                        <w:rPr>
                          <w:sz w:val="18"/>
                          <w:szCs w:val="18"/>
                        </w:rPr>
                        <w:t xml:space="preserve"> to solve sustainability issues. Companies can enter into sustainability standardisation agreements (SSAs) even if such collaborations would push up prices. SSAs are agreements between competitors to adopt and comply with certain sustainability standards. </w:t>
                      </w:r>
                    </w:p>
                  </w:txbxContent>
                </v:textbox>
                <w10:wrap type="topAndBottom" anchorx="margin"/>
              </v:shape>
            </w:pict>
          </mc:Fallback>
        </mc:AlternateContent>
      </w:r>
    </w:p>
    <w:p w14:paraId="118170F4" w14:textId="1BD5C6AC" w:rsidR="001818F2" w:rsidRPr="00F8177B" w:rsidRDefault="00943E3E" w:rsidP="001818F2">
      <w:r w:rsidRPr="00F8177B">
        <w:rPr>
          <w:noProof/>
        </w:rPr>
        <mc:AlternateContent>
          <mc:Choice Requires="wps">
            <w:drawing>
              <wp:anchor distT="0" distB="0" distL="114300" distR="114300" simplePos="0" relativeHeight="251658249" behindDoc="1" locked="0" layoutInCell="1" allowOverlap="1" wp14:anchorId="5EBB35C2" wp14:editId="4F0A443E">
                <wp:simplePos x="0" y="0"/>
                <wp:positionH relativeFrom="margin">
                  <wp:posOffset>50165</wp:posOffset>
                </wp:positionH>
                <wp:positionV relativeFrom="paragraph">
                  <wp:posOffset>-3883660</wp:posOffset>
                </wp:positionV>
                <wp:extent cx="5767070" cy="3362325"/>
                <wp:effectExtent l="0" t="0" r="24130" b="28575"/>
                <wp:wrapTopAndBottom/>
                <wp:docPr id="1933552370" name="Text Box 1933552370"/>
                <wp:cNvGraphicFramePr/>
                <a:graphic xmlns:a="http://schemas.openxmlformats.org/drawingml/2006/main">
                  <a:graphicData uri="http://schemas.microsoft.com/office/word/2010/wordprocessingShape">
                    <wps:wsp>
                      <wps:cNvSpPr txBox="1"/>
                      <wps:spPr>
                        <a:xfrm>
                          <a:off x="0" y="0"/>
                          <a:ext cx="5767070" cy="3362325"/>
                        </a:xfrm>
                        <a:prstGeom prst="rect">
                          <a:avLst/>
                        </a:prstGeom>
                        <a:solidFill>
                          <a:srgbClr val="5B9BD5">
                            <a:lumMod val="20000"/>
                            <a:lumOff val="80000"/>
                          </a:srgbClr>
                        </a:solidFill>
                        <a:ln w="6350">
                          <a:solidFill>
                            <a:srgbClr val="5B9BD5"/>
                          </a:solidFill>
                        </a:ln>
                      </wps:spPr>
                      <wps:txbx>
                        <w:txbxContent>
                          <w:p w14:paraId="650B208A" w14:textId="77777777" w:rsidR="00943E3E" w:rsidRPr="00116F9C" w:rsidRDefault="00943E3E" w:rsidP="00943E3E">
                            <w:pPr>
                              <w:rPr>
                                <w:sz w:val="18"/>
                                <w:szCs w:val="18"/>
                              </w:rPr>
                            </w:pPr>
                            <w:r w:rsidRPr="00116F9C">
                              <w:rPr>
                                <w:sz w:val="18"/>
                                <w:szCs w:val="18"/>
                              </w:rPr>
                              <w:t xml:space="preserve">Example 3. </w:t>
                            </w:r>
                            <w:r w:rsidRPr="00116F9C">
                              <w:rPr>
                                <w:b/>
                                <w:bCs/>
                                <w:sz w:val="18"/>
                                <w:szCs w:val="18"/>
                              </w:rPr>
                              <w:t>Establishing a favourable presumption</w:t>
                            </w:r>
                          </w:p>
                          <w:p w14:paraId="76EC34DB" w14:textId="77777777" w:rsidR="00943E3E" w:rsidRPr="00116F9C" w:rsidRDefault="00000000" w:rsidP="00943E3E">
                            <w:pPr>
                              <w:rPr>
                                <w:sz w:val="18"/>
                                <w:szCs w:val="18"/>
                              </w:rPr>
                            </w:pPr>
                            <w:hyperlink r:id="rId35" w:history="1">
                              <w:r w:rsidR="00943E3E" w:rsidRPr="00116F9C">
                                <w:rPr>
                                  <w:rStyle w:val="Hyperlink"/>
                                  <w:b/>
                                  <w:sz w:val="18"/>
                                  <w:szCs w:val="18"/>
                                </w:rPr>
                                <w:t>ESMA White List on shareholder cooperation and acting in concert</w:t>
                              </w:r>
                            </w:hyperlink>
                            <w:r w:rsidR="00943E3E" w:rsidRPr="00116F9C">
                              <w:rPr>
                                <w:b/>
                                <w:sz w:val="18"/>
                                <w:szCs w:val="18"/>
                              </w:rPr>
                              <w:t xml:space="preserve"> (2015)</w:t>
                            </w:r>
                          </w:p>
                          <w:p w14:paraId="5EB4B6E2" w14:textId="52987F8B" w:rsidR="00943E3E" w:rsidRPr="00116F9C" w:rsidRDefault="00943E3E" w:rsidP="00943E3E">
                            <w:pPr>
                              <w:rPr>
                                <w:rFonts w:asciiTheme="minorHAnsi" w:hAnsiTheme="minorHAnsi" w:cstheme="minorBidi"/>
                                <w:i/>
                                <w:iCs/>
                                <w:color w:val="auto"/>
                                <w:sz w:val="18"/>
                                <w:szCs w:val="18"/>
                                <w:lang w:val="en-AU"/>
                              </w:rPr>
                            </w:pPr>
                            <w:r w:rsidRPr="00116F9C">
                              <w:rPr>
                                <w:sz w:val="18"/>
                                <w:szCs w:val="18"/>
                                <w:lang w:val="en-AU"/>
                              </w:rPr>
                              <w:t xml:space="preserve">In November 2013, the European Securities and Markets Authority (ESMA) published a White List of activities </w:t>
                            </w:r>
                            <w:r w:rsidR="00CA7CB7">
                              <w:rPr>
                                <w:sz w:val="18"/>
                                <w:szCs w:val="18"/>
                                <w:lang w:val="en-AU"/>
                              </w:rPr>
                              <w:t>on which</w:t>
                            </w:r>
                            <w:r w:rsidR="00CA7CB7" w:rsidRPr="00116F9C">
                              <w:rPr>
                                <w:sz w:val="18"/>
                                <w:szCs w:val="18"/>
                                <w:lang w:val="en-AU"/>
                              </w:rPr>
                              <w:t xml:space="preserve"> </w:t>
                            </w:r>
                            <w:r w:rsidRPr="00116F9C">
                              <w:rPr>
                                <w:sz w:val="18"/>
                                <w:szCs w:val="18"/>
                                <w:lang w:val="en-AU"/>
                              </w:rPr>
                              <w:t xml:space="preserve">shareholders can cooperate without the presumption of acting in concert. Even if the White List does not provide examples of specific issues that shareholders can collaborate on, it clarifies that </w:t>
                            </w:r>
                            <w:r w:rsidRPr="00116F9C">
                              <w:rPr>
                                <w:i/>
                                <w:iCs/>
                                <w:sz w:val="18"/>
                                <w:szCs w:val="18"/>
                                <w:lang w:val="en-AU"/>
                              </w:rPr>
                              <w:t xml:space="preserve">engaging in any of the activities below will not, in and of itself, lead to </w:t>
                            </w:r>
                            <w:r w:rsidR="00D00FFA">
                              <w:rPr>
                                <w:rFonts w:eastAsia="DengXian" w:hint="eastAsia"/>
                                <w:i/>
                                <w:iCs/>
                                <w:sz w:val="18"/>
                                <w:szCs w:val="18"/>
                                <w:lang w:val="en-AU" w:eastAsia="zh-CN"/>
                              </w:rPr>
                              <w:t>a conclusion</w:t>
                            </w:r>
                            <w:r w:rsidRPr="00116F9C">
                              <w:rPr>
                                <w:i/>
                                <w:iCs/>
                                <w:sz w:val="18"/>
                                <w:szCs w:val="18"/>
                                <w:lang w:val="en-AU"/>
                              </w:rPr>
                              <w:t xml:space="preserve"> that the shareholders </w:t>
                            </w:r>
                            <w:r w:rsidR="00CA7CB7">
                              <w:rPr>
                                <w:i/>
                                <w:iCs/>
                                <w:sz w:val="18"/>
                                <w:szCs w:val="18"/>
                                <w:lang w:val="en-AU"/>
                              </w:rPr>
                              <w:t>are</w:t>
                            </w:r>
                            <w:r w:rsidR="00CA7CB7" w:rsidRPr="00116F9C">
                              <w:rPr>
                                <w:i/>
                                <w:iCs/>
                                <w:sz w:val="18"/>
                                <w:szCs w:val="18"/>
                                <w:lang w:val="en-AU"/>
                              </w:rPr>
                              <w:t xml:space="preserve"> </w:t>
                            </w:r>
                            <w:r w:rsidRPr="00116F9C">
                              <w:rPr>
                                <w:i/>
                                <w:iCs/>
                                <w:sz w:val="18"/>
                                <w:szCs w:val="18"/>
                                <w:lang w:val="en-AU"/>
                              </w:rPr>
                              <w:t xml:space="preserve">acting in concert: </w:t>
                            </w:r>
                          </w:p>
                          <w:p w14:paraId="55D8E9B8" w14:textId="0B450402" w:rsidR="00943E3E" w:rsidRPr="00116F9C" w:rsidRDefault="00943E3E" w:rsidP="00943E3E">
                            <w:pPr>
                              <w:pStyle w:val="ListParagraph"/>
                              <w:numPr>
                                <w:ilvl w:val="0"/>
                                <w:numId w:val="23"/>
                              </w:numPr>
                              <w:rPr>
                                <w:sz w:val="18"/>
                                <w:szCs w:val="18"/>
                                <w:lang w:val="en-AU"/>
                              </w:rPr>
                            </w:pPr>
                            <w:r w:rsidRPr="00116F9C">
                              <w:rPr>
                                <w:sz w:val="18"/>
                                <w:szCs w:val="18"/>
                              </w:rPr>
                              <w:t>entering into discussions with each other about possible matters to be raised with the company’s board</w:t>
                            </w:r>
                          </w:p>
                          <w:p w14:paraId="7D8B2E14" w14:textId="48F30920" w:rsidR="00943E3E" w:rsidRPr="00116F9C" w:rsidRDefault="00943E3E" w:rsidP="00943E3E">
                            <w:pPr>
                              <w:pStyle w:val="ListParagraph"/>
                              <w:numPr>
                                <w:ilvl w:val="0"/>
                                <w:numId w:val="23"/>
                              </w:numPr>
                              <w:rPr>
                                <w:sz w:val="18"/>
                                <w:szCs w:val="18"/>
                                <w:lang w:val="en-AU"/>
                              </w:rPr>
                            </w:pPr>
                            <w:r w:rsidRPr="00116F9C">
                              <w:rPr>
                                <w:sz w:val="18"/>
                                <w:szCs w:val="18"/>
                              </w:rPr>
                              <w:t>making representations to the company’s board about company policies, practices or particular actions that the company might consider taking</w:t>
                            </w:r>
                          </w:p>
                          <w:p w14:paraId="5F73A73B" w14:textId="6EC2992D" w:rsidR="00943E3E" w:rsidRPr="00116F9C" w:rsidRDefault="00943E3E" w:rsidP="00943E3E">
                            <w:pPr>
                              <w:pStyle w:val="ListParagraph"/>
                              <w:numPr>
                                <w:ilvl w:val="0"/>
                                <w:numId w:val="23"/>
                              </w:numPr>
                              <w:rPr>
                                <w:sz w:val="18"/>
                                <w:szCs w:val="18"/>
                                <w:lang w:val="en-AU"/>
                              </w:rPr>
                            </w:pPr>
                            <w:r w:rsidRPr="00116F9C">
                              <w:rPr>
                                <w:sz w:val="18"/>
                                <w:szCs w:val="18"/>
                              </w:rPr>
                              <w:t>other than in relation to the appointment of board members, exercising shareholders’ statutory righ</w:t>
                            </w:r>
                            <w:r w:rsidR="007411B2">
                              <w:rPr>
                                <w:sz w:val="18"/>
                                <w:szCs w:val="18"/>
                              </w:rPr>
                              <w:t>ts</w:t>
                            </w:r>
                          </w:p>
                          <w:p w14:paraId="72E366E9" w14:textId="77777777" w:rsidR="00943E3E" w:rsidRPr="00116F9C" w:rsidRDefault="00943E3E" w:rsidP="00943E3E">
                            <w:pPr>
                              <w:pStyle w:val="ListParagraph"/>
                              <w:numPr>
                                <w:ilvl w:val="0"/>
                                <w:numId w:val="23"/>
                              </w:numPr>
                              <w:rPr>
                                <w:sz w:val="18"/>
                                <w:szCs w:val="18"/>
                                <w:lang w:val="en-AU"/>
                              </w:rPr>
                            </w:pPr>
                            <w:r w:rsidRPr="00116F9C">
                              <w:rPr>
                                <w:sz w:val="18"/>
                                <w:szCs w:val="18"/>
                              </w:rPr>
                              <w:t>other than in relation to a resolution for the appointment of board members and insofar as such a resolution is provided for under national company law, agreeing to vote the same way on a particular resolution put to a general meeting.</w:t>
                            </w:r>
                          </w:p>
                          <w:p w14:paraId="18EFE8BD" w14:textId="77777777" w:rsidR="00943E3E" w:rsidRPr="00116F9C" w:rsidRDefault="00943E3E" w:rsidP="00943E3E">
                            <w:pPr>
                              <w:rPr>
                                <w:sz w:val="18"/>
                                <w:szCs w:val="18"/>
                              </w:rPr>
                            </w:pPr>
                            <w:r w:rsidRPr="00116F9C">
                              <w:rPr>
                                <w:sz w:val="18"/>
                                <w:szCs w:val="18"/>
                                <w:lang w:val="en-AU"/>
                              </w:rPr>
                              <w:t xml:space="preserve">Also, ESMA helpfully clarified in the same document that shareholder cooperation in activities not included in the White List would not result in an automatic assumption of acting in concert.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35C2" id="Text Box 1933552370" o:spid="_x0000_s1032" type="#_x0000_t202" style="position:absolute;margin-left:3.95pt;margin-top:-305.8pt;width:454.1pt;height:264.7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" fillcolor="#deebf7" strokecolor="#5b9bd5" strokeweight=".5pt">
                <v:textbox>
                  <w:txbxContent>
                    <w:p w14:paraId="650B208A" w14:textId="77777777" w:rsidR="00943E3E" w:rsidRPr="00116F9C" w:rsidRDefault="00943E3E" w:rsidP="00943E3E">
                      <w:pPr>
                        <w:rPr>
                          <w:sz w:val="18"/>
                          <w:szCs w:val="18"/>
                        </w:rPr>
                      </w:pPr>
                      <w:r w:rsidRPr="00116F9C">
                        <w:rPr>
                          <w:sz w:val="18"/>
                          <w:szCs w:val="18"/>
                        </w:rPr>
                        <w:t xml:space="preserve">Example 3. </w:t>
                      </w:r>
                      <w:r w:rsidRPr="00116F9C">
                        <w:rPr>
                          <w:b/>
                          <w:bCs/>
                          <w:sz w:val="18"/>
                          <w:szCs w:val="18"/>
                        </w:rPr>
                        <w:t>Establishing a favourable presumption</w:t>
                      </w:r>
                    </w:p>
                    <w:p w14:paraId="76EC34DB" w14:textId="77777777" w:rsidR="00943E3E" w:rsidRPr="00116F9C" w:rsidRDefault="008540D4" w:rsidP="00943E3E">
                      <w:pPr>
                        <w:rPr>
                          <w:sz w:val="18"/>
                          <w:szCs w:val="18"/>
                        </w:rPr>
                      </w:pPr>
                      <w:hyperlink r:id="rId36" w:history="1">
                        <w:r w:rsidR="00943E3E" w:rsidRPr="00116F9C">
                          <w:rPr>
                            <w:rStyle w:val="Hyperlink"/>
                            <w:b/>
                            <w:sz w:val="18"/>
                            <w:szCs w:val="18"/>
                          </w:rPr>
                          <w:t xml:space="preserve">ESMA </w:t>
                        </w:r>
                        <w:proofErr w:type="gramStart"/>
                        <w:r w:rsidR="00943E3E" w:rsidRPr="00116F9C">
                          <w:rPr>
                            <w:rStyle w:val="Hyperlink"/>
                            <w:b/>
                            <w:sz w:val="18"/>
                            <w:szCs w:val="18"/>
                          </w:rPr>
                          <w:t>White List</w:t>
                        </w:r>
                        <w:proofErr w:type="gramEnd"/>
                        <w:r w:rsidR="00943E3E" w:rsidRPr="00116F9C">
                          <w:rPr>
                            <w:rStyle w:val="Hyperlink"/>
                            <w:b/>
                            <w:sz w:val="18"/>
                            <w:szCs w:val="18"/>
                          </w:rPr>
                          <w:t xml:space="preserve"> on shareholder cooperation and acting in concert</w:t>
                        </w:r>
                      </w:hyperlink>
                      <w:r w:rsidR="00943E3E" w:rsidRPr="00116F9C">
                        <w:rPr>
                          <w:b/>
                          <w:sz w:val="18"/>
                          <w:szCs w:val="18"/>
                        </w:rPr>
                        <w:t xml:space="preserve"> (2015)</w:t>
                      </w:r>
                    </w:p>
                    <w:p w14:paraId="5EB4B6E2" w14:textId="52987F8B" w:rsidR="00943E3E" w:rsidRPr="00116F9C" w:rsidRDefault="00943E3E" w:rsidP="00943E3E">
                      <w:pPr>
                        <w:rPr>
                          <w:rFonts w:asciiTheme="minorHAnsi" w:hAnsiTheme="minorHAnsi" w:cstheme="minorBidi"/>
                          <w:i/>
                          <w:iCs/>
                          <w:color w:val="auto"/>
                          <w:sz w:val="18"/>
                          <w:szCs w:val="18"/>
                          <w:lang w:val="en-AU"/>
                        </w:rPr>
                      </w:pPr>
                      <w:r w:rsidRPr="00116F9C">
                        <w:rPr>
                          <w:sz w:val="18"/>
                          <w:szCs w:val="18"/>
                          <w:lang w:val="en-AU"/>
                        </w:rPr>
                        <w:t xml:space="preserve">In November 2013, the European Securities and Markets Authority (ESMA) published a </w:t>
                      </w:r>
                      <w:proofErr w:type="gramStart"/>
                      <w:r w:rsidRPr="00116F9C">
                        <w:rPr>
                          <w:sz w:val="18"/>
                          <w:szCs w:val="18"/>
                          <w:lang w:val="en-AU"/>
                        </w:rPr>
                        <w:t>White List</w:t>
                      </w:r>
                      <w:proofErr w:type="gramEnd"/>
                      <w:r w:rsidRPr="00116F9C">
                        <w:rPr>
                          <w:sz w:val="18"/>
                          <w:szCs w:val="18"/>
                          <w:lang w:val="en-AU"/>
                        </w:rPr>
                        <w:t xml:space="preserve"> of activities </w:t>
                      </w:r>
                      <w:r w:rsidR="00CA7CB7">
                        <w:rPr>
                          <w:sz w:val="18"/>
                          <w:szCs w:val="18"/>
                          <w:lang w:val="en-AU"/>
                        </w:rPr>
                        <w:t>on which</w:t>
                      </w:r>
                      <w:r w:rsidR="00CA7CB7" w:rsidRPr="00116F9C">
                        <w:rPr>
                          <w:sz w:val="18"/>
                          <w:szCs w:val="18"/>
                          <w:lang w:val="en-AU"/>
                        </w:rPr>
                        <w:t xml:space="preserve"> </w:t>
                      </w:r>
                      <w:r w:rsidRPr="00116F9C">
                        <w:rPr>
                          <w:sz w:val="18"/>
                          <w:szCs w:val="18"/>
                          <w:lang w:val="en-AU"/>
                        </w:rPr>
                        <w:t xml:space="preserve">shareholders can cooperate without the presumption of acting in concert. Even if the </w:t>
                      </w:r>
                      <w:proofErr w:type="gramStart"/>
                      <w:r w:rsidRPr="00116F9C">
                        <w:rPr>
                          <w:sz w:val="18"/>
                          <w:szCs w:val="18"/>
                          <w:lang w:val="en-AU"/>
                        </w:rPr>
                        <w:t>White List</w:t>
                      </w:r>
                      <w:proofErr w:type="gramEnd"/>
                      <w:r w:rsidRPr="00116F9C">
                        <w:rPr>
                          <w:sz w:val="18"/>
                          <w:szCs w:val="18"/>
                          <w:lang w:val="en-AU"/>
                        </w:rPr>
                        <w:t xml:space="preserve"> does not provide examples of specific issues that shareholders can collaborate on, it clarifies that </w:t>
                      </w:r>
                      <w:r w:rsidRPr="00116F9C">
                        <w:rPr>
                          <w:i/>
                          <w:iCs/>
                          <w:sz w:val="18"/>
                          <w:szCs w:val="18"/>
                          <w:lang w:val="en-AU"/>
                        </w:rPr>
                        <w:t xml:space="preserve">engaging in any of the activities below will not, in and of itself, lead to </w:t>
                      </w:r>
                      <w:r w:rsidR="00D00FFA">
                        <w:rPr>
                          <w:rFonts w:eastAsia="DengXian" w:hint="eastAsia"/>
                          <w:i/>
                          <w:iCs/>
                          <w:sz w:val="18"/>
                          <w:szCs w:val="18"/>
                          <w:lang w:val="en-AU" w:eastAsia="zh-CN"/>
                        </w:rPr>
                        <w:t>a conclusion</w:t>
                      </w:r>
                      <w:r w:rsidRPr="00116F9C">
                        <w:rPr>
                          <w:i/>
                          <w:iCs/>
                          <w:sz w:val="18"/>
                          <w:szCs w:val="18"/>
                          <w:lang w:val="en-AU"/>
                        </w:rPr>
                        <w:t xml:space="preserve"> that the shareholders </w:t>
                      </w:r>
                      <w:r w:rsidR="00CA7CB7">
                        <w:rPr>
                          <w:i/>
                          <w:iCs/>
                          <w:sz w:val="18"/>
                          <w:szCs w:val="18"/>
                          <w:lang w:val="en-AU"/>
                        </w:rPr>
                        <w:t>are</w:t>
                      </w:r>
                      <w:r w:rsidR="00CA7CB7" w:rsidRPr="00116F9C">
                        <w:rPr>
                          <w:i/>
                          <w:iCs/>
                          <w:sz w:val="18"/>
                          <w:szCs w:val="18"/>
                          <w:lang w:val="en-AU"/>
                        </w:rPr>
                        <w:t xml:space="preserve"> </w:t>
                      </w:r>
                      <w:r w:rsidRPr="00116F9C">
                        <w:rPr>
                          <w:i/>
                          <w:iCs/>
                          <w:sz w:val="18"/>
                          <w:szCs w:val="18"/>
                          <w:lang w:val="en-AU"/>
                        </w:rPr>
                        <w:t xml:space="preserve">acting in concert: </w:t>
                      </w:r>
                    </w:p>
                    <w:p w14:paraId="55D8E9B8" w14:textId="0B450402" w:rsidR="00943E3E" w:rsidRPr="00116F9C" w:rsidRDefault="00943E3E" w:rsidP="00943E3E">
                      <w:pPr>
                        <w:pStyle w:val="ListParagraph"/>
                        <w:numPr>
                          <w:ilvl w:val="0"/>
                          <w:numId w:val="23"/>
                        </w:numPr>
                        <w:rPr>
                          <w:sz w:val="18"/>
                          <w:szCs w:val="18"/>
                          <w:lang w:val="en-AU"/>
                        </w:rPr>
                      </w:pPr>
                      <w:proofErr w:type="gramStart"/>
                      <w:r w:rsidRPr="00116F9C">
                        <w:rPr>
                          <w:sz w:val="18"/>
                          <w:szCs w:val="18"/>
                        </w:rPr>
                        <w:t>entering into</w:t>
                      </w:r>
                      <w:proofErr w:type="gramEnd"/>
                      <w:r w:rsidRPr="00116F9C">
                        <w:rPr>
                          <w:sz w:val="18"/>
                          <w:szCs w:val="18"/>
                        </w:rPr>
                        <w:t xml:space="preserve"> discussions with each other about possible matters to be raised with the company’s board</w:t>
                      </w:r>
                    </w:p>
                    <w:p w14:paraId="7D8B2E14" w14:textId="48F30920" w:rsidR="00943E3E" w:rsidRPr="00116F9C" w:rsidRDefault="00943E3E" w:rsidP="00943E3E">
                      <w:pPr>
                        <w:pStyle w:val="ListParagraph"/>
                        <w:numPr>
                          <w:ilvl w:val="0"/>
                          <w:numId w:val="23"/>
                        </w:numPr>
                        <w:rPr>
                          <w:sz w:val="18"/>
                          <w:szCs w:val="18"/>
                          <w:lang w:val="en-AU"/>
                        </w:rPr>
                      </w:pPr>
                      <w:r w:rsidRPr="00116F9C">
                        <w:rPr>
                          <w:sz w:val="18"/>
                          <w:szCs w:val="18"/>
                        </w:rPr>
                        <w:t xml:space="preserve">making representations to the company’s board about company policies, practices or </w:t>
                      </w:r>
                      <w:proofErr w:type="gramStart"/>
                      <w:r w:rsidRPr="00116F9C">
                        <w:rPr>
                          <w:sz w:val="18"/>
                          <w:szCs w:val="18"/>
                        </w:rPr>
                        <w:t>particular actions</w:t>
                      </w:r>
                      <w:proofErr w:type="gramEnd"/>
                      <w:r w:rsidRPr="00116F9C">
                        <w:rPr>
                          <w:sz w:val="18"/>
                          <w:szCs w:val="18"/>
                        </w:rPr>
                        <w:t xml:space="preserve"> that the company might consider taking</w:t>
                      </w:r>
                    </w:p>
                    <w:p w14:paraId="5F73A73B" w14:textId="6EC2992D" w:rsidR="00943E3E" w:rsidRPr="00116F9C" w:rsidRDefault="00943E3E" w:rsidP="00943E3E">
                      <w:pPr>
                        <w:pStyle w:val="ListParagraph"/>
                        <w:numPr>
                          <w:ilvl w:val="0"/>
                          <w:numId w:val="23"/>
                        </w:numPr>
                        <w:rPr>
                          <w:sz w:val="18"/>
                          <w:szCs w:val="18"/>
                          <w:lang w:val="en-AU"/>
                        </w:rPr>
                      </w:pPr>
                      <w:r w:rsidRPr="00116F9C">
                        <w:rPr>
                          <w:sz w:val="18"/>
                          <w:szCs w:val="18"/>
                        </w:rPr>
                        <w:t>other than in relation to the appointment of board members, exercising shareholders’ statutory righ</w:t>
                      </w:r>
                      <w:r w:rsidR="007411B2">
                        <w:rPr>
                          <w:sz w:val="18"/>
                          <w:szCs w:val="18"/>
                        </w:rPr>
                        <w:t>ts</w:t>
                      </w:r>
                    </w:p>
                    <w:p w14:paraId="72E366E9" w14:textId="77777777" w:rsidR="00943E3E" w:rsidRPr="00116F9C" w:rsidRDefault="00943E3E" w:rsidP="00943E3E">
                      <w:pPr>
                        <w:pStyle w:val="ListParagraph"/>
                        <w:numPr>
                          <w:ilvl w:val="0"/>
                          <w:numId w:val="23"/>
                        </w:numPr>
                        <w:rPr>
                          <w:sz w:val="18"/>
                          <w:szCs w:val="18"/>
                          <w:lang w:val="en-AU"/>
                        </w:rPr>
                      </w:pPr>
                      <w:r w:rsidRPr="00116F9C">
                        <w:rPr>
                          <w:sz w:val="18"/>
                          <w:szCs w:val="18"/>
                        </w:rPr>
                        <w:t>other than in relation to a resolution for the appointment of board members and insofar as such a resolution is provided for under national company law, agreeing to vote the same way on a particular resolution put to a general meeting.</w:t>
                      </w:r>
                    </w:p>
                    <w:p w14:paraId="18EFE8BD" w14:textId="77777777" w:rsidR="00943E3E" w:rsidRPr="00116F9C" w:rsidRDefault="00943E3E" w:rsidP="00943E3E">
                      <w:pPr>
                        <w:rPr>
                          <w:sz w:val="18"/>
                          <w:szCs w:val="18"/>
                        </w:rPr>
                      </w:pPr>
                      <w:r w:rsidRPr="00116F9C">
                        <w:rPr>
                          <w:sz w:val="18"/>
                          <w:szCs w:val="18"/>
                          <w:lang w:val="en-AU"/>
                        </w:rPr>
                        <w:t xml:space="preserve">Also, ESMA helpfully clarified in the same document that shareholder cooperation in activities not included in the </w:t>
                      </w:r>
                      <w:proofErr w:type="gramStart"/>
                      <w:r w:rsidRPr="00116F9C">
                        <w:rPr>
                          <w:sz w:val="18"/>
                          <w:szCs w:val="18"/>
                          <w:lang w:val="en-AU"/>
                        </w:rPr>
                        <w:t>White List</w:t>
                      </w:r>
                      <w:proofErr w:type="gramEnd"/>
                      <w:r w:rsidRPr="00116F9C">
                        <w:rPr>
                          <w:sz w:val="18"/>
                          <w:szCs w:val="18"/>
                          <w:lang w:val="en-AU"/>
                        </w:rPr>
                        <w:t xml:space="preserve"> would not result in an automatic assumption of acting in concert. </w:t>
                      </w:r>
                    </w:p>
                  </w:txbxContent>
                </v:textbox>
                <w10:wrap type="topAndBottom" anchorx="margin"/>
              </v:shape>
            </w:pict>
          </mc:Fallback>
        </mc:AlternateContent>
      </w:r>
    </w:p>
    <w:p w14:paraId="6CE49AFE" w14:textId="6CE785CE" w:rsidR="00943E3E" w:rsidRPr="00F8177B" w:rsidRDefault="00943E3E">
      <w:pPr>
        <w:spacing w:before="0" w:after="160" w:line="259" w:lineRule="auto"/>
      </w:pPr>
      <w:r w:rsidRPr="00F8177B">
        <w:br w:type="page"/>
      </w:r>
    </w:p>
    <w:p w14:paraId="4981B931" w14:textId="3926B9F9" w:rsidR="00943E3E" w:rsidRPr="00F8177B" w:rsidRDefault="005A2ED5" w:rsidP="001818F2">
      <w:r w:rsidRPr="00F8177B">
        <w:rPr>
          <w:b/>
          <w:bCs/>
          <w:noProof/>
        </w:rPr>
        <w:lastRenderedPageBreak/>
        <mc:AlternateContent>
          <mc:Choice Requires="wps">
            <w:drawing>
              <wp:anchor distT="0" distB="0" distL="114300" distR="114300" simplePos="0" relativeHeight="251658246" behindDoc="1" locked="0" layoutInCell="1" allowOverlap="1" wp14:anchorId="206411AA" wp14:editId="1DB9539C">
                <wp:simplePos x="0" y="0"/>
                <wp:positionH relativeFrom="margin">
                  <wp:align>right</wp:align>
                </wp:positionH>
                <wp:positionV relativeFrom="paragraph">
                  <wp:posOffset>2387836</wp:posOffset>
                </wp:positionV>
                <wp:extent cx="5826125" cy="1254125"/>
                <wp:effectExtent l="0" t="0" r="22225" b="22225"/>
                <wp:wrapTopAndBottom/>
                <wp:docPr id="1306955895" name="Text Box 1306955895"/>
                <wp:cNvGraphicFramePr/>
                <a:graphic xmlns:a="http://schemas.openxmlformats.org/drawingml/2006/main">
                  <a:graphicData uri="http://schemas.microsoft.com/office/word/2010/wordprocessingShape">
                    <wps:wsp>
                      <wps:cNvSpPr txBox="1"/>
                      <wps:spPr>
                        <a:xfrm>
                          <a:off x="0" y="0"/>
                          <a:ext cx="5826125" cy="1254125"/>
                        </a:xfrm>
                        <a:prstGeom prst="rect">
                          <a:avLst/>
                        </a:prstGeom>
                        <a:solidFill>
                          <a:srgbClr val="5B9BD5">
                            <a:lumMod val="20000"/>
                            <a:lumOff val="80000"/>
                          </a:srgbClr>
                        </a:solidFill>
                        <a:ln w="6350">
                          <a:solidFill>
                            <a:srgbClr val="5B9BD5"/>
                          </a:solidFill>
                        </a:ln>
                      </wps:spPr>
                      <wps:txbx>
                        <w:txbxContent>
                          <w:p w14:paraId="69E34452" w14:textId="37B15769" w:rsidR="00481BAA" w:rsidRPr="00EF7DE1" w:rsidRDefault="00481BAA" w:rsidP="00140A64">
                            <w:pPr>
                              <w:spacing w:before="60" w:after="60" w:line="264" w:lineRule="auto"/>
                              <w:rPr>
                                <w:sz w:val="18"/>
                                <w:szCs w:val="18"/>
                              </w:rPr>
                            </w:pPr>
                            <w:r w:rsidRPr="00EF7DE1">
                              <w:rPr>
                                <w:sz w:val="18"/>
                                <w:szCs w:val="18"/>
                              </w:rPr>
                              <w:t xml:space="preserve">Example 6. </w:t>
                            </w:r>
                            <w:r w:rsidR="008E18BF" w:rsidRPr="00EF7DE1">
                              <w:rPr>
                                <w:b/>
                                <w:bCs/>
                                <w:sz w:val="18"/>
                                <w:szCs w:val="18"/>
                              </w:rPr>
                              <w:t>Leniency to</w:t>
                            </w:r>
                            <w:r w:rsidR="000B168E" w:rsidRPr="00EF7DE1">
                              <w:rPr>
                                <w:b/>
                                <w:bCs/>
                                <w:sz w:val="18"/>
                                <w:szCs w:val="18"/>
                              </w:rPr>
                              <w:t>wards g</w:t>
                            </w:r>
                            <w:r w:rsidR="00F11AFF" w:rsidRPr="00EF7DE1">
                              <w:rPr>
                                <w:b/>
                                <w:bCs/>
                                <w:sz w:val="18"/>
                                <w:szCs w:val="18"/>
                              </w:rPr>
                              <w:t xml:space="preserve">ood </w:t>
                            </w:r>
                            <w:r w:rsidR="000B168E" w:rsidRPr="00EF7DE1">
                              <w:rPr>
                                <w:b/>
                                <w:bCs/>
                                <w:sz w:val="18"/>
                                <w:szCs w:val="18"/>
                              </w:rPr>
                              <w:t>f</w:t>
                            </w:r>
                            <w:r w:rsidR="00F11AFF" w:rsidRPr="00EF7DE1">
                              <w:rPr>
                                <w:b/>
                                <w:bCs/>
                                <w:sz w:val="18"/>
                                <w:szCs w:val="18"/>
                              </w:rPr>
                              <w:t>aith</w:t>
                            </w:r>
                            <w:r w:rsidR="000B168E" w:rsidRPr="00EF7DE1">
                              <w:rPr>
                                <w:b/>
                                <w:bCs/>
                                <w:sz w:val="18"/>
                                <w:szCs w:val="18"/>
                              </w:rPr>
                              <w:t xml:space="preserve"> practitioners</w:t>
                            </w:r>
                            <w:r w:rsidR="001A103B">
                              <w:rPr>
                                <w:sz w:val="18"/>
                                <w:szCs w:val="18"/>
                              </w:rPr>
                              <w:t xml:space="preserve"> </w:t>
                            </w:r>
                          </w:p>
                          <w:p w14:paraId="3C1893C6" w14:textId="743FE22D" w:rsidR="006C3951" w:rsidRPr="00EF7DE1" w:rsidRDefault="006B495C" w:rsidP="00140A64">
                            <w:pPr>
                              <w:spacing w:before="60" w:after="60" w:line="264" w:lineRule="auto"/>
                              <w:rPr>
                                <w:bCs/>
                                <w:sz w:val="18"/>
                                <w:szCs w:val="18"/>
                              </w:rPr>
                            </w:pPr>
                            <w:r w:rsidRPr="00EF7DE1">
                              <w:rPr>
                                <w:sz w:val="18"/>
                                <w:szCs w:val="18"/>
                              </w:rPr>
                              <w:t>Netherlands Authority for</w:t>
                            </w:r>
                            <w:r w:rsidR="00800D76" w:rsidRPr="00EF7DE1">
                              <w:rPr>
                                <w:sz w:val="18"/>
                                <w:szCs w:val="18"/>
                              </w:rPr>
                              <w:t xml:space="preserve"> Consumer</w:t>
                            </w:r>
                            <w:r w:rsidRPr="00EF7DE1">
                              <w:rPr>
                                <w:sz w:val="18"/>
                                <w:szCs w:val="18"/>
                              </w:rPr>
                              <w:t>s</w:t>
                            </w:r>
                            <w:r w:rsidR="00800D76" w:rsidRPr="00EF7DE1">
                              <w:rPr>
                                <w:sz w:val="18"/>
                                <w:szCs w:val="18"/>
                              </w:rPr>
                              <w:t xml:space="preserve"> and </w:t>
                            </w:r>
                            <w:r w:rsidR="00A14CD3" w:rsidRPr="00EF7DE1">
                              <w:rPr>
                                <w:sz w:val="18"/>
                                <w:szCs w:val="18"/>
                              </w:rPr>
                              <w:t>M</w:t>
                            </w:r>
                            <w:r w:rsidR="00800D76" w:rsidRPr="00EF7DE1">
                              <w:rPr>
                                <w:sz w:val="18"/>
                                <w:szCs w:val="18"/>
                              </w:rPr>
                              <w:t>arket</w:t>
                            </w:r>
                            <w:r w:rsidRPr="00EF7DE1">
                              <w:rPr>
                                <w:sz w:val="18"/>
                                <w:szCs w:val="18"/>
                              </w:rPr>
                              <w:t>s</w:t>
                            </w:r>
                            <w:r w:rsidR="00A14CD3" w:rsidRPr="00EF7DE1">
                              <w:rPr>
                                <w:sz w:val="18"/>
                                <w:szCs w:val="18"/>
                              </w:rPr>
                              <w:t xml:space="preserve"> (ACM)</w:t>
                            </w:r>
                            <w:r w:rsidR="00800D76" w:rsidRPr="00EF7DE1">
                              <w:rPr>
                                <w:sz w:val="18"/>
                                <w:szCs w:val="18"/>
                              </w:rPr>
                              <w:t xml:space="preserve"> – </w:t>
                            </w:r>
                            <w:hyperlink r:id="rId37" w:history="1">
                              <w:r w:rsidR="006C3951" w:rsidRPr="00EF7DE1">
                                <w:rPr>
                                  <w:rStyle w:val="Hyperlink"/>
                                  <w:b/>
                                  <w:sz w:val="18"/>
                                  <w:szCs w:val="18"/>
                                </w:rPr>
                                <w:t xml:space="preserve">Guidelines </w:t>
                              </w:r>
                              <w:r w:rsidR="00534820" w:rsidRPr="00EF7DE1">
                                <w:rPr>
                                  <w:rStyle w:val="Hyperlink"/>
                                  <w:b/>
                                  <w:sz w:val="18"/>
                                  <w:szCs w:val="18"/>
                                </w:rPr>
                                <w:t>regarding Sustainability Claims</w:t>
                              </w:r>
                            </w:hyperlink>
                            <w:r w:rsidR="006C3951" w:rsidRPr="00EF7DE1">
                              <w:rPr>
                                <w:sz w:val="18"/>
                                <w:szCs w:val="18"/>
                              </w:rPr>
                              <w:t xml:space="preserve"> </w:t>
                            </w:r>
                          </w:p>
                          <w:p w14:paraId="216E81A6" w14:textId="100913B6" w:rsidR="00481BAA" w:rsidRPr="00EF7DE1" w:rsidRDefault="00884548" w:rsidP="00140A64">
                            <w:pPr>
                              <w:spacing w:before="60" w:after="60" w:line="264" w:lineRule="auto"/>
                              <w:rPr>
                                <w:sz w:val="18"/>
                                <w:szCs w:val="18"/>
                                <w:lang w:val="en-AU"/>
                              </w:rPr>
                            </w:pPr>
                            <w:r w:rsidRPr="00EF7DE1">
                              <w:rPr>
                                <w:sz w:val="18"/>
                                <w:szCs w:val="18"/>
                              </w:rPr>
                              <w:t xml:space="preserve">With regard to sustainability agreements that have been published, and where these Guidelines have been followed in good faith, but later turn out not to be compatible with the Dutch Competition Act, adjustments to such agreements may be agreed on in consultation with ACM, or following an ACM intervention. In </w:t>
                            </w:r>
                            <w:r w:rsidR="00CA7CB7">
                              <w:rPr>
                                <w:sz w:val="18"/>
                                <w:szCs w:val="18"/>
                              </w:rPr>
                              <w:t>such</w:t>
                            </w:r>
                            <w:r w:rsidR="00CA7CB7" w:rsidRPr="00EF7DE1">
                              <w:rPr>
                                <w:sz w:val="18"/>
                                <w:szCs w:val="18"/>
                              </w:rPr>
                              <w:t xml:space="preserve"> </w:t>
                            </w:r>
                            <w:r w:rsidRPr="00EF7DE1">
                              <w:rPr>
                                <w:sz w:val="18"/>
                                <w:szCs w:val="18"/>
                              </w:rPr>
                              <w:t xml:space="preserve">cases, ACM will not impose any fines. This also applies to agreements that have been discussed with ACM well in advance, and </w:t>
                            </w:r>
                            <w:r w:rsidR="00CA7CB7">
                              <w:rPr>
                                <w:sz w:val="18"/>
                                <w:szCs w:val="18"/>
                              </w:rPr>
                              <w:t>for which</w:t>
                            </w:r>
                            <w:r w:rsidR="00CA7CB7" w:rsidRPr="00EF7DE1">
                              <w:rPr>
                                <w:sz w:val="18"/>
                                <w:szCs w:val="18"/>
                              </w:rPr>
                              <w:t xml:space="preserve"> </w:t>
                            </w:r>
                            <w:r w:rsidRPr="00EF7DE1">
                              <w:rPr>
                                <w:sz w:val="18"/>
                                <w:szCs w:val="18"/>
                              </w:rPr>
                              <w:t>ACM, at that point, did not identify any major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411AA" id="Text Box 1306955895" o:spid="_x0000_s1033" type="#_x0000_t202" style="position:absolute;margin-left:407.55pt;margin-top:188pt;width:458.75pt;height:98.75pt;z-index:-2516582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" fillcolor="#deebf7" strokecolor="#5b9bd5" strokeweight=".5pt">
                <v:textbox>
                  <w:txbxContent>
                    <w:p w14:paraId="69E34452" w14:textId="37B15769" w:rsidR="00481BAA" w:rsidRPr="00EF7DE1" w:rsidRDefault="00481BAA" w:rsidP="00140A64">
                      <w:pPr>
                        <w:spacing w:before="60" w:after="60" w:line="264" w:lineRule="auto"/>
                        <w:rPr>
                          <w:sz w:val="18"/>
                          <w:szCs w:val="18"/>
                        </w:rPr>
                      </w:pPr>
                      <w:r w:rsidRPr="00EF7DE1">
                        <w:rPr>
                          <w:sz w:val="18"/>
                          <w:szCs w:val="18"/>
                        </w:rPr>
                        <w:t xml:space="preserve">Example 6. </w:t>
                      </w:r>
                      <w:r w:rsidR="008E18BF" w:rsidRPr="00EF7DE1">
                        <w:rPr>
                          <w:b/>
                          <w:bCs/>
                          <w:sz w:val="18"/>
                          <w:szCs w:val="18"/>
                        </w:rPr>
                        <w:t>Leniency to</w:t>
                      </w:r>
                      <w:r w:rsidR="000B168E" w:rsidRPr="00EF7DE1">
                        <w:rPr>
                          <w:b/>
                          <w:bCs/>
                          <w:sz w:val="18"/>
                          <w:szCs w:val="18"/>
                        </w:rPr>
                        <w:t>wards g</w:t>
                      </w:r>
                      <w:r w:rsidR="00F11AFF" w:rsidRPr="00EF7DE1">
                        <w:rPr>
                          <w:b/>
                          <w:bCs/>
                          <w:sz w:val="18"/>
                          <w:szCs w:val="18"/>
                        </w:rPr>
                        <w:t xml:space="preserve">ood </w:t>
                      </w:r>
                      <w:r w:rsidR="000B168E" w:rsidRPr="00EF7DE1">
                        <w:rPr>
                          <w:b/>
                          <w:bCs/>
                          <w:sz w:val="18"/>
                          <w:szCs w:val="18"/>
                        </w:rPr>
                        <w:t>f</w:t>
                      </w:r>
                      <w:r w:rsidR="00F11AFF" w:rsidRPr="00EF7DE1">
                        <w:rPr>
                          <w:b/>
                          <w:bCs/>
                          <w:sz w:val="18"/>
                          <w:szCs w:val="18"/>
                        </w:rPr>
                        <w:t>aith</w:t>
                      </w:r>
                      <w:r w:rsidR="000B168E" w:rsidRPr="00EF7DE1">
                        <w:rPr>
                          <w:b/>
                          <w:bCs/>
                          <w:sz w:val="18"/>
                          <w:szCs w:val="18"/>
                        </w:rPr>
                        <w:t xml:space="preserve"> practitioners</w:t>
                      </w:r>
                      <w:r w:rsidR="001A103B">
                        <w:rPr>
                          <w:sz w:val="18"/>
                          <w:szCs w:val="18"/>
                        </w:rPr>
                        <w:t xml:space="preserve"> </w:t>
                      </w:r>
                    </w:p>
                    <w:p w14:paraId="3C1893C6" w14:textId="743FE22D" w:rsidR="006C3951" w:rsidRPr="00EF7DE1" w:rsidRDefault="006B495C" w:rsidP="00140A64">
                      <w:pPr>
                        <w:spacing w:before="60" w:after="60" w:line="264" w:lineRule="auto"/>
                        <w:rPr>
                          <w:bCs/>
                          <w:sz w:val="18"/>
                          <w:szCs w:val="18"/>
                        </w:rPr>
                      </w:pPr>
                      <w:r w:rsidRPr="00EF7DE1">
                        <w:rPr>
                          <w:sz w:val="18"/>
                          <w:szCs w:val="18"/>
                        </w:rPr>
                        <w:t>Netherlands Authority for</w:t>
                      </w:r>
                      <w:r w:rsidR="00800D76" w:rsidRPr="00EF7DE1">
                        <w:rPr>
                          <w:sz w:val="18"/>
                          <w:szCs w:val="18"/>
                        </w:rPr>
                        <w:t xml:space="preserve"> Consumer</w:t>
                      </w:r>
                      <w:r w:rsidRPr="00EF7DE1">
                        <w:rPr>
                          <w:sz w:val="18"/>
                          <w:szCs w:val="18"/>
                        </w:rPr>
                        <w:t>s</w:t>
                      </w:r>
                      <w:r w:rsidR="00800D76" w:rsidRPr="00EF7DE1">
                        <w:rPr>
                          <w:sz w:val="18"/>
                          <w:szCs w:val="18"/>
                        </w:rPr>
                        <w:t xml:space="preserve"> and </w:t>
                      </w:r>
                      <w:r w:rsidR="00A14CD3" w:rsidRPr="00EF7DE1">
                        <w:rPr>
                          <w:sz w:val="18"/>
                          <w:szCs w:val="18"/>
                        </w:rPr>
                        <w:t>M</w:t>
                      </w:r>
                      <w:r w:rsidR="00800D76" w:rsidRPr="00EF7DE1">
                        <w:rPr>
                          <w:sz w:val="18"/>
                          <w:szCs w:val="18"/>
                        </w:rPr>
                        <w:t>arket</w:t>
                      </w:r>
                      <w:r w:rsidRPr="00EF7DE1">
                        <w:rPr>
                          <w:sz w:val="18"/>
                          <w:szCs w:val="18"/>
                        </w:rPr>
                        <w:t>s</w:t>
                      </w:r>
                      <w:r w:rsidR="00A14CD3" w:rsidRPr="00EF7DE1">
                        <w:rPr>
                          <w:sz w:val="18"/>
                          <w:szCs w:val="18"/>
                        </w:rPr>
                        <w:t xml:space="preserve"> (ACM)</w:t>
                      </w:r>
                      <w:r w:rsidR="00800D76" w:rsidRPr="00EF7DE1">
                        <w:rPr>
                          <w:sz w:val="18"/>
                          <w:szCs w:val="18"/>
                        </w:rPr>
                        <w:t xml:space="preserve"> – </w:t>
                      </w:r>
                      <w:hyperlink r:id="rId38" w:history="1">
                        <w:r w:rsidR="006C3951" w:rsidRPr="00EF7DE1">
                          <w:rPr>
                            <w:rStyle w:val="Hyperlink"/>
                            <w:b/>
                            <w:sz w:val="18"/>
                            <w:szCs w:val="18"/>
                          </w:rPr>
                          <w:t xml:space="preserve">Guidelines </w:t>
                        </w:r>
                        <w:r w:rsidR="00534820" w:rsidRPr="00EF7DE1">
                          <w:rPr>
                            <w:rStyle w:val="Hyperlink"/>
                            <w:b/>
                            <w:sz w:val="18"/>
                            <w:szCs w:val="18"/>
                          </w:rPr>
                          <w:t>regarding Sustainability Claims</w:t>
                        </w:r>
                      </w:hyperlink>
                      <w:r w:rsidR="006C3951" w:rsidRPr="00EF7DE1">
                        <w:rPr>
                          <w:sz w:val="18"/>
                          <w:szCs w:val="18"/>
                        </w:rPr>
                        <w:t xml:space="preserve"> </w:t>
                      </w:r>
                    </w:p>
                    <w:p w14:paraId="216E81A6" w14:textId="100913B6" w:rsidR="00481BAA" w:rsidRPr="00EF7DE1" w:rsidRDefault="00884548" w:rsidP="00140A64">
                      <w:pPr>
                        <w:spacing w:before="60" w:after="60" w:line="264" w:lineRule="auto"/>
                        <w:rPr>
                          <w:sz w:val="18"/>
                          <w:szCs w:val="18"/>
                          <w:lang w:val="en-AU"/>
                        </w:rPr>
                      </w:pPr>
                      <w:r w:rsidRPr="00EF7DE1">
                        <w:rPr>
                          <w:sz w:val="18"/>
                          <w:szCs w:val="18"/>
                        </w:rPr>
                        <w:t xml:space="preserve">With regard to sustainability agreements that have been published, and where these Guidelines have been followed in good faith, but later turn out not to be compatible with the Dutch Competition Act, adjustments to such agreements may be agreed on in consultation with </w:t>
                      </w:r>
                      <w:proofErr w:type="gramStart"/>
                      <w:r w:rsidRPr="00EF7DE1">
                        <w:rPr>
                          <w:sz w:val="18"/>
                          <w:szCs w:val="18"/>
                        </w:rPr>
                        <w:t>ACM, or</w:t>
                      </w:r>
                      <w:proofErr w:type="gramEnd"/>
                      <w:r w:rsidRPr="00EF7DE1">
                        <w:rPr>
                          <w:sz w:val="18"/>
                          <w:szCs w:val="18"/>
                        </w:rPr>
                        <w:t xml:space="preserve"> following an ACM intervention. In </w:t>
                      </w:r>
                      <w:r w:rsidR="00CA7CB7">
                        <w:rPr>
                          <w:sz w:val="18"/>
                          <w:szCs w:val="18"/>
                        </w:rPr>
                        <w:t>such</w:t>
                      </w:r>
                      <w:r w:rsidR="00CA7CB7" w:rsidRPr="00EF7DE1">
                        <w:rPr>
                          <w:sz w:val="18"/>
                          <w:szCs w:val="18"/>
                        </w:rPr>
                        <w:t xml:space="preserve"> </w:t>
                      </w:r>
                      <w:r w:rsidRPr="00EF7DE1">
                        <w:rPr>
                          <w:sz w:val="18"/>
                          <w:szCs w:val="18"/>
                        </w:rPr>
                        <w:t xml:space="preserve">cases, ACM will not impose any fines. This also applies to agreements that have been discussed with ACM well in advance, and </w:t>
                      </w:r>
                      <w:r w:rsidR="00CA7CB7">
                        <w:rPr>
                          <w:sz w:val="18"/>
                          <w:szCs w:val="18"/>
                        </w:rPr>
                        <w:t>for which</w:t>
                      </w:r>
                      <w:r w:rsidR="00CA7CB7" w:rsidRPr="00EF7DE1">
                        <w:rPr>
                          <w:sz w:val="18"/>
                          <w:szCs w:val="18"/>
                        </w:rPr>
                        <w:t xml:space="preserve"> </w:t>
                      </w:r>
                      <w:r w:rsidRPr="00EF7DE1">
                        <w:rPr>
                          <w:sz w:val="18"/>
                          <w:szCs w:val="18"/>
                        </w:rPr>
                        <w:t>ACM, at that point, did not identify any major risks.</w:t>
                      </w:r>
                    </w:p>
                  </w:txbxContent>
                </v:textbox>
                <w10:wrap type="topAndBottom" anchorx="margin"/>
              </v:shape>
            </w:pict>
          </mc:Fallback>
        </mc:AlternateContent>
      </w:r>
      <w:r w:rsidRPr="00F8177B">
        <w:rPr>
          <w:b/>
          <w:bCs/>
          <w:noProof/>
        </w:rPr>
        <mc:AlternateContent>
          <mc:Choice Requires="wps">
            <w:drawing>
              <wp:anchor distT="0" distB="0" distL="114300" distR="114300" simplePos="0" relativeHeight="251658245" behindDoc="1" locked="0" layoutInCell="1" allowOverlap="1" wp14:anchorId="6BB7FCB0" wp14:editId="4330A930">
                <wp:simplePos x="0" y="0"/>
                <wp:positionH relativeFrom="margin">
                  <wp:align>right</wp:align>
                </wp:positionH>
                <wp:positionV relativeFrom="paragraph">
                  <wp:posOffset>28575</wp:posOffset>
                </wp:positionV>
                <wp:extent cx="5836920" cy="2136775"/>
                <wp:effectExtent l="0" t="0" r="11430" b="15875"/>
                <wp:wrapTight wrapText="bothSides">
                  <wp:wrapPolygon edited="0">
                    <wp:start x="0" y="0"/>
                    <wp:lineTo x="0" y="21568"/>
                    <wp:lineTo x="21572" y="21568"/>
                    <wp:lineTo x="21572" y="0"/>
                    <wp:lineTo x="0" y="0"/>
                  </wp:wrapPolygon>
                </wp:wrapTight>
                <wp:docPr id="1008929659" name="Text Box 1008929659"/>
                <wp:cNvGraphicFramePr/>
                <a:graphic xmlns:a="http://schemas.openxmlformats.org/drawingml/2006/main">
                  <a:graphicData uri="http://schemas.microsoft.com/office/word/2010/wordprocessingShape">
                    <wps:wsp>
                      <wps:cNvSpPr txBox="1"/>
                      <wps:spPr>
                        <a:xfrm>
                          <a:off x="0" y="0"/>
                          <a:ext cx="5836920" cy="2137144"/>
                        </a:xfrm>
                        <a:prstGeom prst="rect">
                          <a:avLst/>
                        </a:prstGeom>
                        <a:solidFill>
                          <a:srgbClr val="5B9BD5">
                            <a:lumMod val="20000"/>
                            <a:lumOff val="80000"/>
                          </a:srgbClr>
                        </a:solidFill>
                        <a:ln w="6350">
                          <a:solidFill>
                            <a:srgbClr val="5B9BD5"/>
                          </a:solidFill>
                        </a:ln>
                      </wps:spPr>
                      <wps:txbx>
                        <w:txbxContent>
                          <w:p w14:paraId="7AFAE631" w14:textId="6FC395D5" w:rsidR="002239BA" w:rsidRPr="00F65D7B" w:rsidRDefault="002239BA" w:rsidP="005A2ED5">
                            <w:pPr>
                              <w:spacing w:before="60" w:after="60" w:line="264" w:lineRule="auto"/>
                              <w:rPr>
                                <w:sz w:val="18"/>
                                <w:szCs w:val="18"/>
                              </w:rPr>
                            </w:pPr>
                            <w:r w:rsidRPr="00F65D7B">
                              <w:rPr>
                                <w:sz w:val="18"/>
                                <w:szCs w:val="18"/>
                              </w:rPr>
                              <w:t xml:space="preserve">Example </w:t>
                            </w:r>
                            <w:r w:rsidR="00481BAA" w:rsidRPr="00F65D7B">
                              <w:rPr>
                                <w:sz w:val="18"/>
                                <w:szCs w:val="18"/>
                              </w:rPr>
                              <w:t>5</w:t>
                            </w:r>
                            <w:r w:rsidRPr="00F65D7B">
                              <w:rPr>
                                <w:sz w:val="18"/>
                                <w:szCs w:val="18"/>
                              </w:rPr>
                              <w:t xml:space="preserve">. </w:t>
                            </w:r>
                            <w:r w:rsidRPr="00EF7DE1">
                              <w:rPr>
                                <w:b/>
                                <w:bCs/>
                                <w:sz w:val="18"/>
                                <w:szCs w:val="18"/>
                              </w:rPr>
                              <w:t xml:space="preserve">Open door policy </w:t>
                            </w:r>
                            <w:r w:rsidR="00EA339D" w:rsidRPr="00EF7DE1">
                              <w:rPr>
                                <w:b/>
                                <w:bCs/>
                                <w:sz w:val="18"/>
                                <w:szCs w:val="18"/>
                              </w:rPr>
                              <w:t xml:space="preserve">to further </w:t>
                            </w:r>
                            <w:r w:rsidR="00452270" w:rsidRPr="00EF7DE1">
                              <w:rPr>
                                <w:b/>
                                <w:bCs/>
                                <w:sz w:val="18"/>
                                <w:szCs w:val="18"/>
                              </w:rPr>
                              <w:t>provide support for investors facing uncertainties</w:t>
                            </w:r>
                            <w:r w:rsidRPr="00F65D7B">
                              <w:rPr>
                                <w:sz w:val="18"/>
                                <w:szCs w:val="18"/>
                              </w:rPr>
                              <w:t xml:space="preserve"> </w:t>
                            </w:r>
                          </w:p>
                          <w:p w14:paraId="65515773" w14:textId="77777777" w:rsidR="004C1111" w:rsidRPr="00F65D7B" w:rsidRDefault="00000000" w:rsidP="005A2ED5">
                            <w:pPr>
                              <w:spacing w:before="60" w:after="60" w:line="264" w:lineRule="auto"/>
                              <w:rPr>
                                <w:b/>
                                <w:sz w:val="18"/>
                                <w:szCs w:val="18"/>
                              </w:rPr>
                            </w:pPr>
                            <w:hyperlink r:id="rId39" w:history="1">
                              <w:r w:rsidR="004C1111" w:rsidRPr="00F65D7B">
                                <w:rPr>
                                  <w:rStyle w:val="Hyperlink"/>
                                  <w:b/>
                                  <w:sz w:val="18"/>
                                  <w:szCs w:val="18"/>
                                </w:rPr>
                                <w:t>UK CMA Green Agreements Guidance</w:t>
                              </w:r>
                            </w:hyperlink>
                            <w:r w:rsidR="004C1111" w:rsidRPr="00F65D7B">
                              <w:rPr>
                                <w:b/>
                                <w:sz w:val="18"/>
                                <w:szCs w:val="18"/>
                              </w:rPr>
                              <w:t xml:space="preserve"> (2023)</w:t>
                            </w:r>
                          </w:p>
                          <w:p w14:paraId="3D6BFB58" w14:textId="391F98F7" w:rsidR="002239BA" w:rsidRPr="00F65D7B" w:rsidRDefault="00C609B1" w:rsidP="005A2ED5">
                            <w:pPr>
                              <w:spacing w:before="60" w:after="60" w:line="264" w:lineRule="auto"/>
                              <w:rPr>
                                <w:sz w:val="18"/>
                                <w:szCs w:val="18"/>
                              </w:rPr>
                            </w:pPr>
                            <w:r w:rsidRPr="00F65D7B">
                              <w:rPr>
                                <w:sz w:val="18"/>
                                <w:szCs w:val="18"/>
                              </w:rPr>
                              <w:t xml:space="preserve">The CMA is operating an open-door policy whereby businesses considering entering into an environmental sustainability agreement can approach the CMA for informal guidance on their proposed agreement if there is uncertainty on the application of this Guidance. This could be because businesses have questions or concerns that are not covered by this Guidance or in order to seek clarity or </w:t>
                            </w:r>
                            <w:r w:rsidR="00CA7CB7">
                              <w:rPr>
                                <w:sz w:val="18"/>
                                <w:szCs w:val="18"/>
                              </w:rPr>
                              <w:t>reassurance</w:t>
                            </w:r>
                            <w:r w:rsidR="00CA7CB7" w:rsidRPr="00F65D7B">
                              <w:rPr>
                                <w:sz w:val="18"/>
                                <w:szCs w:val="18"/>
                              </w:rPr>
                              <w:t xml:space="preserve"> </w:t>
                            </w:r>
                            <w:r w:rsidRPr="00F65D7B">
                              <w:rPr>
                                <w:sz w:val="18"/>
                                <w:szCs w:val="18"/>
                              </w:rPr>
                              <w:t>on how this Guidance will be applied in particular circumstances.</w:t>
                            </w:r>
                          </w:p>
                          <w:p w14:paraId="4F8955A2" w14:textId="7071CB9D" w:rsidR="00EA339D" w:rsidRPr="00F65D7B" w:rsidRDefault="00EA339D" w:rsidP="005A2ED5">
                            <w:pPr>
                              <w:spacing w:before="60" w:after="60" w:line="264" w:lineRule="auto"/>
                              <w:rPr>
                                <w:sz w:val="18"/>
                                <w:szCs w:val="18"/>
                                <w:lang w:val="en-AU"/>
                              </w:rPr>
                            </w:pPr>
                            <w:r w:rsidRPr="00F65D7B">
                              <w:rPr>
                                <w:sz w:val="18"/>
                                <w:szCs w:val="18"/>
                              </w:rPr>
                              <w:t xml:space="preserve">The CMA does not expect to take enforcement action in relation to an agreement </w:t>
                            </w:r>
                            <w:r w:rsidR="00CA7CB7">
                              <w:rPr>
                                <w:sz w:val="18"/>
                                <w:szCs w:val="18"/>
                              </w:rPr>
                              <w:t>that</w:t>
                            </w:r>
                            <w:r w:rsidR="00CA7CB7" w:rsidRPr="00F65D7B">
                              <w:rPr>
                                <w:sz w:val="18"/>
                                <w:szCs w:val="18"/>
                              </w:rPr>
                              <w:t xml:space="preserve"> </w:t>
                            </w:r>
                            <w:r w:rsidRPr="00F65D7B">
                              <w:rPr>
                                <w:sz w:val="18"/>
                                <w:szCs w:val="18"/>
                              </w:rPr>
                              <w:t xml:space="preserve">was discussed with the CMA in advance under the </w:t>
                            </w:r>
                            <w:r w:rsidR="005C7A5E" w:rsidRPr="00F65D7B">
                              <w:rPr>
                                <w:sz w:val="18"/>
                                <w:szCs w:val="18"/>
                              </w:rPr>
                              <w:t>open-door</w:t>
                            </w:r>
                            <w:r w:rsidRPr="00F65D7B">
                              <w:rPr>
                                <w:sz w:val="18"/>
                                <w:szCs w:val="18"/>
                              </w:rPr>
                              <w:t xml:space="preserve"> policy and where the CMA did not raise concerns (or where any concerns that were raised by the CMA have been addressed by the parties). However, if </w:t>
                            </w:r>
                            <w:r w:rsidR="000325BB" w:rsidRPr="00F65D7B">
                              <w:rPr>
                                <w:sz w:val="18"/>
                                <w:szCs w:val="18"/>
                              </w:rPr>
                              <w:t>the CMA</w:t>
                            </w:r>
                            <w:r w:rsidRPr="00F65D7B">
                              <w:rPr>
                                <w:sz w:val="18"/>
                                <w:szCs w:val="18"/>
                              </w:rPr>
                              <w:t xml:space="preserve"> were to conclude that further consideration of the agreement was necessary</w:t>
                            </w:r>
                            <w:r w:rsidR="00CA7CB7">
                              <w:rPr>
                                <w:sz w:val="18"/>
                                <w:szCs w:val="18"/>
                              </w:rPr>
                              <w:t>,</w:t>
                            </w:r>
                            <w:r w:rsidRPr="00F65D7B">
                              <w:rPr>
                                <w:sz w:val="18"/>
                                <w:szCs w:val="18"/>
                              </w:rPr>
                              <w:t xml:space="preserve"> the CMA would not issue fines against the parties that had implemented the agreement if it were to subsequently conclude that the agreement infringed the Chapter I prohibition of the Competition Act 1998.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7FCB0" id="Text Box 1008929659" o:spid="_x0000_s1034" type="#_x0000_t202" style="position:absolute;margin-left:408.4pt;margin-top:2.25pt;width:459.6pt;height:168.25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" fillcolor="#deebf7" strokecolor="#5b9bd5" strokeweight=".5pt">
                <v:textbox>
                  <w:txbxContent>
                    <w:p w14:paraId="7AFAE631" w14:textId="6FC395D5" w:rsidR="002239BA" w:rsidRPr="00F65D7B" w:rsidRDefault="002239BA" w:rsidP="005A2ED5">
                      <w:pPr>
                        <w:spacing w:before="60" w:after="60" w:line="264" w:lineRule="auto"/>
                        <w:rPr>
                          <w:sz w:val="18"/>
                          <w:szCs w:val="18"/>
                        </w:rPr>
                      </w:pPr>
                      <w:r w:rsidRPr="00F65D7B">
                        <w:rPr>
                          <w:sz w:val="18"/>
                          <w:szCs w:val="18"/>
                        </w:rPr>
                        <w:t xml:space="preserve">Example </w:t>
                      </w:r>
                      <w:r w:rsidR="00481BAA" w:rsidRPr="00F65D7B">
                        <w:rPr>
                          <w:sz w:val="18"/>
                          <w:szCs w:val="18"/>
                        </w:rPr>
                        <w:t>5</w:t>
                      </w:r>
                      <w:r w:rsidRPr="00F65D7B">
                        <w:rPr>
                          <w:sz w:val="18"/>
                          <w:szCs w:val="18"/>
                        </w:rPr>
                        <w:t xml:space="preserve">. </w:t>
                      </w:r>
                      <w:r w:rsidRPr="00EF7DE1">
                        <w:rPr>
                          <w:b/>
                          <w:bCs/>
                          <w:sz w:val="18"/>
                          <w:szCs w:val="18"/>
                        </w:rPr>
                        <w:t xml:space="preserve">Open door policy </w:t>
                      </w:r>
                      <w:r w:rsidR="00EA339D" w:rsidRPr="00EF7DE1">
                        <w:rPr>
                          <w:b/>
                          <w:bCs/>
                          <w:sz w:val="18"/>
                          <w:szCs w:val="18"/>
                        </w:rPr>
                        <w:t xml:space="preserve">to further </w:t>
                      </w:r>
                      <w:r w:rsidR="00452270" w:rsidRPr="00EF7DE1">
                        <w:rPr>
                          <w:b/>
                          <w:bCs/>
                          <w:sz w:val="18"/>
                          <w:szCs w:val="18"/>
                        </w:rPr>
                        <w:t>provide support for investors facing uncertainties</w:t>
                      </w:r>
                      <w:r w:rsidRPr="00F65D7B">
                        <w:rPr>
                          <w:sz w:val="18"/>
                          <w:szCs w:val="18"/>
                        </w:rPr>
                        <w:t xml:space="preserve"> </w:t>
                      </w:r>
                    </w:p>
                    <w:p w14:paraId="65515773" w14:textId="77777777" w:rsidR="004C1111" w:rsidRPr="00F65D7B" w:rsidRDefault="008540D4" w:rsidP="005A2ED5">
                      <w:pPr>
                        <w:spacing w:before="60" w:after="60" w:line="264" w:lineRule="auto"/>
                        <w:rPr>
                          <w:b/>
                          <w:sz w:val="18"/>
                          <w:szCs w:val="18"/>
                        </w:rPr>
                      </w:pPr>
                      <w:hyperlink r:id="rId40" w:history="1">
                        <w:r w:rsidR="004C1111" w:rsidRPr="00F65D7B">
                          <w:rPr>
                            <w:rStyle w:val="Hyperlink"/>
                            <w:b/>
                            <w:sz w:val="18"/>
                            <w:szCs w:val="18"/>
                          </w:rPr>
                          <w:t>UK CMA Green Agreements Guidance</w:t>
                        </w:r>
                      </w:hyperlink>
                      <w:r w:rsidR="004C1111" w:rsidRPr="00F65D7B">
                        <w:rPr>
                          <w:b/>
                          <w:sz w:val="18"/>
                          <w:szCs w:val="18"/>
                        </w:rPr>
                        <w:t xml:space="preserve"> (2023)</w:t>
                      </w:r>
                    </w:p>
                    <w:p w14:paraId="3D6BFB58" w14:textId="391F98F7" w:rsidR="002239BA" w:rsidRPr="00F65D7B" w:rsidRDefault="00C609B1" w:rsidP="005A2ED5">
                      <w:pPr>
                        <w:spacing w:before="60" w:after="60" w:line="264" w:lineRule="auto"/>
                        <w:rPr>
                          <w:sz w:val="18"/>
                          <w:szCs w:val="18"/>
                        </w:rPr>
                      </w:pPr>
                      <w:r w:rsidRPr="00F65D7B">
                        <w:rPr>
                          <w:sz w:val="18"/>
                          <w:szCs w:val="18"/>
                        </w:rPr>
                        <w:t xml:space="preserve">The CMA is operating an open-door policy whereby businesses considering entering into an environmental sustainability agreement can approach the CMA for informal guidance on their proposed agreement if there is uncertainty on the application of this Guidance. This could be because businesses have questions or concerns that are not covered by this Guidance or </w:t>
                      </w:r>
                      <w:proofErr w:type="gramStart"/>
                      <w:r w:rsidRPr="00F65D7B">
                        <w:rPr>
                          <w:sz w:val="18"/>
                          <w:szCs w:val="18"/>
                        </w:rPr>
                        <w:t>in order to</w:t>
                      </w:r>
                      <w:proofErr w:type="gramEnd"/>
                      <w:r w:rsidRPr="00F65D7B">
                        <w:rPr>
                          <w:sz w:val="18"/>
                          <w:szCs w:val="18"/>
                        </w:rPr>
                        <w:t xml:space="preserve"> seek clarity or </w:t>
                      </w:r>
                      <w:r w:rsidR="00CA7CB7">
                        <w:rPr>
                          <w:sz w:val="18"/>
                          <w:szCs w:val="18"/>
                        </w:rPr>
                        <w:t>reassurance</w:t>
                      </w:r>
                      <w:r w:rsidR="00CA7CB7" w:rsidRPr="00F65D7B">
                        <w:rPr>
                          <w:sz w:val="18"/>
                          <w:szCs w:val="18"/>
                        </w:rPr>
                        <w:t xml:space="preserve"> </w:t>
                      </w:r>
                      <w:r w:rsidRPr="00F65D7B">
                        <w:rPr>
                          <w:sz w:val="18"/>
                          <w:szCs w:val="18"/>
                        </w:rPr>
                        <w:t>on how this Guidance will be applied in particular circumstances.</w:t>
                      </w:r>
                    </w:p>
                    <w:p w14:paraId="4F8955A2" w14:textId="7071CB9D" w:rsidR="00EA339D" w:rsidRPr="00F65D7B" w:rsidRDefault="00EA339D" w:rsidP="005A2ED5">
                      <w:pPr>
                        <w:spacing w:before="60" w:after="60" w:line="264" w:lineRule="auto"/>
                        <w:rPr>
                          <w:sz w:val="18"/>
                          <w:szCs w:val="18"/>
                          <w:lang w:val="en-AU"/>
                        </w:rPr>
                      </w:pPr>
                      <w:r w:rsidRPr="00F65D7B">
                        <w:rPr>
                          <w:sz w:val="18"/>
                          <w:szCs w:val="18"/>
                        </w:rPr>
                        <w:t xml:space="preserve">The CMA does not expect to take enforcement action in relation to an agreement </w:t>
                      </w:r>
                      <w:r w:rsidR="00CA7CB7">
                        <w:rPr>
                          <w:sz w:val="18"/>
                          <w:szCs w:val="18"/>
                        </w:rPr>
                        <w:t>that</w:t>
                      </w:r>
                      <w:r w:rsidR="00CA7CB7" w:rsidRPr="00F65D7B">
                        <w:rPr>
                          <w:sz w:val="18"/>
                          <w:szCs w:val="18"/>
                        </w:rPr>
                        <w:t xml:space="preserve"> </w:t>
                      </w:r>
                      <w:r w:rsidRPr="00F65D7B">
                        <w:rPr>
                          <w:sz w:val="18"/>
                          <w:szCs w:val="18"/>
                        </w:rPr>
                        <w:t xml:space="preserve">was discussed with the CMA in advance under the </w:t>
                      </w:r>
                      <w:r w:rsidR="005C7A5E" w:rsidRPr="00F65D7B">
                        <w:rPr>
                          <w:sz w:val="18"/>
                          <w:szCs w:val="18"/>
                        </w:rPr>
                        <w:t>open-door</w:t>
                      </w:r>
                      <w:r w:rsidRPr="00F65D7B">
                        <w:rPr>
                          <w:sz w:val="18"/>
                          <w:szCs w:val="18"/>
                        </w:rPr>
                        <w:t xml:space="preserve"> policy and where the CMA did not raise concerns (or where any concerns that were raised by the CMA have been addressed by the parties). However, if </w:t>
                      </w:r>
                      <w:r w:rsidR="000325BB" w:rsidRPr="00F65D7B">
                        <w:rPr>
                          <w:sz w:val="18"/>
                          <w:szCs w:val="18"/>
                        </w:rPr>
                        <w:t>the CMA</w:t>
                      </w:r>
                      <w:r w:rsidRPr="00F65D7B">
                        <w:rPr>
                          <w:sz w:val="18"/>
                          <w:szCs w:val="18"/>
                        </w:rPr>
                        <w:t xml:space="preserve"> were to conclude that further consideration of the agreement was necessary</w:t>
                      </w:r>
                      <w:r w:rsidR="00CA7CB7">
                        <w:rPr>
                          <w:sz w:val="18"/>
                          <w:szCs w:val="18"/>
                        </w:rPr>
                        <w:t>,</w:t>
                      </w:r>
                      <w:r w:rsidRPr="00F65D7B">
                        <w:rPr>
                          <w:sz w:val="18"/>
                          <w:szCs w:val="18"/>
                        </w:rPr>
                        <w:t xml:space="preserve"> the CMA would not issue fines against the parties that had implemented the agreement if it were to subsequently conclude that the agreement infringed the Chapter I prohibition of the Competition Act 1998.</w:t>
                      </w:r>
                    </w:p>
                  </w:txbxContent>
                </v:textbox>
                <w10:wrap type="tight" anchorx="margin"/>
              </v:shape>
            </w:pict>
          </mc:Fallback>
        </mc:AlternateContent>
      </w:r>
    </w:p>
    <w:p w14:paraId="6100734D" w14:textId="4BEA8611" w:rsidR="005A2ED5" w:rsidRPr="00D00FFA" w:rsidRDefault="005A2ED5" w:rsidP="005536A7">
      <w:pPr>
        <w:rPr>
          <w:b/>
          <w:bCs/>
        </w:rPr>
      </w:pPr>
    </w:p>
    <w:p w14:paraId="5A0EA378" w14:textId="0AF1494D" w:rsidR="00D124E4" w:rsidRPr="00D00FFA" w:rsidRDefault="17FE73AC" w:rsidP="005A2ED5">
      <w:pPr>
        <w:pStyle w:val="ListBullet"/>
        <w:rPr>
          <w:b/>
          <w:bCs/>
        </w:rPr>
      </w:pPr>
      <w:r w:rsidRPr="00D00FFA">
        <w:rPr>
          <w:b/>
          <w:bCs/>
        </w:rPr>
        <w:t>Adopt a whole</w:t>
      </w:r>
      <w:r w:rsidR="00EC4398" w:rsidRPr="00D00FFA">
        <w:rPr>
          <w:b/>
          <w:bCs/>
        </w:rPr>
        <w:t>-</w:t>
      </w:r>
      <w:r w:rsidRPr="00D00FFA">
        <w:rPr>
          <w:b/>
          <w:bCs/>
        </w:rPr>
        <w:t>of</w:t>
      </w:r>
      <w:r w:rsidR="00EC4398" w:rsidRPr="00D00FFA">
        <w:rPr>
          <w:b/>
          <w:bCs/>
        </w:rPr>
        <w:t>-</w:t>
      </w:r>
      <w:r w:rsidRPr="00D00FFA">
        <w:rPr>
          <w:b/>
          <w:bCs/>
        </w:rPr>
        <w:t xml:space="preserve">government approach to better integrating sustainability concerns in the administration of acting in concert rules and competition law </w:t>
      </w:r>
    </w:p>
    <w:p w14:paraId="7ECABEB3" w14:textId="4889942B" w:rsidR="00036DE1" w:rsidRPr="00D00FFA" w:rsidRDefault="00D0031C" w:rsidP="000F2F1A">
      <w:r w:rsidRPr="00F8177B">
        <w:rPr>
          <w:noProof/>
        </w:rPr>
        <mc:AlternateContent>
          <mc:Choice Requires="wps">
            <w:drawing>
              <wp:anchor distT="0" distB="0" distL="114300" distR="114300" simplePos="0" relativeHeight="251658247" behindDoc="1" locked="0" layoutInCell="1" allowOverlap="1" wp14:anchorId="2062EDB7" wp14:editId="5F14AA94">
                <wp:simplePos x="0" y="0"/>
                <wp:positionH relativeFrom="margin">
                  <wp:align>right</wp:align>
                </wp:positionH>
                <wp:positionV relativeFrom="paragraph">
                  <wp:posOffset>2337877</wp:posOffset>
                </wp:positionV>
                <wp:extent cx="5815330" cy="1934919"/>
                <wp:effectExtent l="0" t="0" r="13970" b="27305"/>
                <wp:wrapTopAndBottom/>
                <wp:docPr id="448910569" name="Text Box 448910569"/>
                <wp:cNvGraphicFramePr/>
                <a:graphic xmlns:a="http://schemas.openxmlformats.org/drawingml/2006/main">
                  <a:graphicData uri="http://schemas.microsoft.com/office/word/2010/wordprocessingShape">
                    <wps:wsp>
                      <wps:cNvSpPr txBox="1"/>
                      <wps:spPr>
                        <a:xfrm>
                          <a:off x="0" y="0"/>
                          <a:ext cx="5815330" cy="1934919"/>
                        </a:xfrm>
                        <a:prstGeom prst="rect">
                          <a:avLst/>
                        </a:prstGeom>
                        <a:solidFill>
                          <a:srgbClr val="5B9BD5">
                            <a:lumMod val="20000"/>
                            <a:lumOff val="80000"/>
                          </a:srgbClr>
                        </a:solidFill>
                        <a:ln w="6350">
                          <a:solidFill>
                            <a:srgbClr val="5B9BD5"/>
                          </a:solidFill>
                        </a:ln>
                      </wps:spPr>
                      <wps:txbx>
                        <w:txbxContent>
                          <w:p w14:paraId="1202B23E" w14:textId="532483DF" w:rsidR="007959CE" w:rsidRPr="008A3451" w:rsidRDefault="007959CE" w:rsidP="00140A64">
                            <w:pPr>
                              <w:spacing w:before="60" w:after="60" w:line="264" w:lineRule="auto"/>
                              <w:rPr>
                                <w:sz w:val="18"/>
                                <w:szCs w:val="18"/>
                              </w:rPr>
                            </w:pPr>
                            <w:r w:rsidRPr="008A3451">
                              <w:rPr>
                                <w:sz w:val="18"/>
                                <w:szCs w:val="18"/>
                              </w:rPr>
                              <w:t xml:space="preserve">Example </w:t>
                            </w:r>
                            <w:r w:rsidR="006B495C" w:rsidRPr="008A3451">
                              <w:rPr>
                                <w:sz w:val="18"/>
                                <w:szCs w:val="18"/>
                              </w:rPr>
                              <w:t>7</w:t>
                            </w:r>
                            <w:r w:rsidRPr="008A3451">
                              <w:rPr>
                                <w:sz w:val="18"/>
                                <w:szCs w:val="18"/>
                              </w:rPr>
                              <w:t xml:space="preserve">. </w:t>
                            </w:r>
                            <w:r w:rsidR="00F27EB9" w:rsidRPr="008A3451">
                              <w:rPr>
                                <w:b/>
                                <w:bCs/>
                                <w:sz w:val="18"/>
                                <w:szCs w:val="18"/>
                              </w:rPr>
                              <w:t>A whole</w:t>
                            </w:r>
                            <w:r w:rsidR="00F81E13">
                              <w:rPr>
                                <w:b/>
                                <w:bCs/>
                                <w:sz w:val="18"/>
                                <w:szCs w:val="18"/>
                              </w:rPr>
                              <w:t>-</w:t>
                            </w:r>
                            <w:r w:rsidR="00F27EB9" w:rsidRPr="008A3451">
                              <w:rPr>
                                <w:b/>
                                <w:bCs/>
                                <w:sz w:val="18"/>
                                <w:szCs w:val="18"/>
                              </w:rPr>
                              <w:t>of</w:t>
                            </w:r>
                            <w:r w:rsidR="00F81E13">
                              <w:rPr>
                                <w:b/>
                                <w:bCs/>
                                <w:sz w:val="18"/>
                                <w:szCs w:val="18"/>
                              </w:rPr>
                              <w:t>-</w:t>
                            </w:r>
                            <w:r w:rsidR="00F27EB9" w:rsidRPr="008A3451">
                              <w:rPr>
                                <w:b/>
                                <w:bCs/>
                                <w:sz w:val="18"/>
                                <w:szCs w:val="18"/>
                              </w:rPr>
                              <w:t>government approach to the administration of competition law</w:t>
                            </w:r>
                            <w:r w:rsidR="00F27EB9" w:rsidRPr="008A3451">
                              <w:rPr>
                                <w:sz w:val="18"/>
                                <w:szCs w:val="18"/>
                              </w:rPr>
                              <w:t xml:space="preserve"> </w:t>
                            </w:r>
                          </w:p>
                          <w:p w14:paraId="187B6413" w14:textId="604AEBE0" w:rsidR="00E816C2" w:rsidRPr="008A3451" w:rsidRDefault="00E816C2" w:rsidP="00140A64">
                            <w:pPr>
                              <w:spacing w:before="60" w:after="60" w:line="264" w:lineRule="auto"/>
                              <w:rPr>
                                <w:sz w:val="18"/>
                                <w:szCs w:val="18"/>
                              </w:rPr>
                            </w:pPr>
                            <w:r w:rsidRPr="008A3451">
                              <w:rPr>
                                <w:sz w:val="18"/>
                                <w:szCs w:val="18"/>
                              </w:rPr>
                              <w:t xml:space="preserve">US Department of Agriculture (USDA) </w:t>
                            </w:r>
                            <w:r w:rsidR="00B125CB" w:rsidRPr="008A3451">
                              <w:rPr>
                                <w:sz w:val="18"/>
                                <w:szCs w:val="18"/>
                              </w:rPr>
                              <w:t>–</w:t>
                            </w:r>
                            <w:r w:rsidRPr="008A3451">
                              <w:rPr>
                                <w:sz w:val="18"/>
                                <w:szCs w:val="18"/>
                              </w:rPr>
                              <w:t xml:space="preserve"> </w:t>
                            </w:r>
                            <w:hyperlink r:id="rId41" w:history="1">
                              <w:r w:rsidR="00F27EB9" w:rsidRPr="008A3451">
                                <w:rPr>
                                  <w:rStyle w:val="Hyperlink"/>
                                  <w:b/>
                                  <w:bCs/>
                                  <w:sz w:val="18"/>
                                  <w:szCs w:val="18"/>
                                </w:rPr>
                                <w:t>More and Better Choices for Farmers</w:t>
                              </w:r>
                            </w:hyperlink>
                            <w:r w:rsidR="00F27EB9" w:rsidRPr="008A3451">
                              <w:rPr>
                                <w:sz w:val="18"/>
                                <w:szCs w:val="18"/>
                              </w:rPr>
                              <w:t>: Promoting Fair Competition and Innovation in Seeds and Other Agricultural Inputs</w:t>
                            </w:r>
                          </w:p>
                          <w:p w14:paraId="0F06B027" w14:textId="5B1EFE64" w:rsidR="007959CE" w:rsidRPr="008A3451" w:rsidRDefault="009F6990" w:rsidP="00140A64">
                            <w:pPr>
                              <w:spacing w:before="60" w:after="60" w:line="264" w:lineRule="auto"/>
                              <w:rPr>
                                <w:sz w:val="18"/>
                                <w:szCs w:val="18"/>
                                <w:lang w:val="en-AU"/>
                              </w:rPr>
                            </w:pPr>
                            <w:r w:rsidRPr="008A3451">
                              <w:rPr>
                                <w:sz w:val="18"/>
                                <w:szCs w:val="18"/>
                              </w:rPr>
                              <w:t>In July 2021, President Biden issued an Executive Order on Promoting Competition in the American Economy.</w:t>
                            </w:r>
                            <w:r w:rsidR="0000387C" w:rsidRPr="008A3451">
                              <w:rPr>
                                <w:sz w:val="18"/>
                                <w:szCs w:val="18"/>
                              </w:rPr>
                              <w:t xml:space="preserve"> </w:t>
                            </w:r>
                            <w:r w:rsidRPr="008A3451">
                              <w:rPr>
                                <w:sz w:val="18"/>
                                <w:szCs w:val="18"/>
                              </w:rPr>
                              <w:t xml:space="preserve">The order established a historic whole-of-government approach to competition policy, recognizing the sweeping problem of consolidation across industries in the United States. </w:t>
                            </w:r>
                            <w:r w:rsidR="00B125CB" w:rsidRPr="008A3451">
                              <w:rPr>
                                <w:sz w:val="18"/>
                                <w:szCs w:val="18"/>
                              </w:rPr>
                              <w:t>I</w:t>
                            </w:r>
                            <w:r w:rsidR="00F27EB9" w:rsidRPr="008A3451">
                              <w:rPr>
                                <w:sz w:val="18"/>
                                <w:szCs w:val="18"/>
                              </w:rPr>
                              <w:t>n consultation with the Patent and Trademark Office (USPTO), the Department of Justice Antitrust Division, and the Federal Trade Commission</w:t>
                            </w:r>
                            <w:r w:rsidR="00B125CB" w:rsidRPr="008A3451">
                              <w:rPr>
                                <w:sz w:val="18"/>
                                <w:szCs w:val="18"/>
                              </w:rPr>
                              <w:t>, USDA in</w:t>
                            </w:r>
                            <w:r w:rsidR="00F27EB9" w:rsidRPr="008A3451">
                              <w:rPr>
                                <w:sz w:val="18"/>
                                <w:szCs w:val="18"/>
                              </w:rPr>
                              <w:t xml:space="preserve"> </w:t>
                            </w:r>
                            <w:r w:rsidR="00B125CB" w:rsidRPr="008A3451">
                              <w:rPr>
                                <w:sz w:val="18"/>
                                <w:szCs w:val="18"/>
                              </w:rPr>
                              <w:t>t</w:t>
                            </w:r>
                            <w:r w:rsidR="00F27EB9" w:rsidRPr="008A3451">
                              <w:rPr>
                                <w:sz w:val="18"/>
                                <w:szCs w:val="18"/>
                              </w:rPr>
                              <w:t>he report discussed competition dynamics in the seed industry, detailing its cross-over effects on systems resiliency, sustainability, and environmental protection.</w:t>
                            </w:r>
                            <w:r w:rsidR="00D15F63" w:rsidRPr="008A3451">
                              <w:rPr>
                                <w:sz w:val="18"/>
                                <w:szCs w:val="18"/>
                              </w:rPr>
                              <w:t xml:space="preserve"> </w:t>
                            </w:r>
                            <w:r w:rsidR="003A1988" w:rsidRPr="008A3451">
                              <w:rPr>
                                <w:sz w:val="18"/>
                                <w:szCs w:val="18"/>
                              </w:rPr>
                              <w:t xml:space="preserve">To deliver on its recommendations, USDA and the U.S. Patent and Trademark Office (USPTO) will form a Working Group on IP &amp; Competition in Seeds and Other Agricultural Inputs, </w:t>
                            </w:r>
                            <w:r w:rsidR="00F81E13">
                              <w:rPr>
                                <w:sz w:val="18"/>
                                <w:szCs w:val="18"/>
                              </w:rPr>
                              <w:t>in which</w:t>
                            </w:r>
                            <w:r w:rsidR="00F81E13" w:rsidRPr="008A3451">
                              <w:rPr>
                                <w:sz w:val="18"/>
                                <w:szCs w:val="18"/>
                              </w:rPr>
                              <w:t xml:space="preserve"> </w:t>
                            </w:r>
                            <w:r w:rsidR="003A1988" w:rsidRPr="008A3451">
                              <w:rPr>
                                <w:sz w:val="18"/>
                                <w:szCs w:val="18"/>
                              </w:rPr>
                              <w:t>USDA and USPTO, together with Department of Justice and the Federal Trade Commission, will work together to promote fair competition in the seed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EDB7" id="Text Box 448910569" o:spid="_x0000_s1035" type="#_x0000_t202" style="position:absolute;margin-left:406.7pt;margin-top:184.1pt;width:457.9pt;height:152.35pt;z-index:-251658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" fillcolor="#deebf7" strokecolor="#5b9bd5" strokeweight=".5pt">
                <v:textbox>
                  <w:txbxContent>
                    <w:p w14:paraId="1202B23E" w14:textId="532483DF" w:rsidR="007959CE" w:rsidRPr="008A3451" w:rsidRDefault="007959CE" w:rsidP="00140A64">
                      <w:pPr>
                        <w:spacing w:before="60" w:after="60" w:line="264" w:lineRule="auto"/>
                        <w:rPr>
                          <w:sz w:val="18"/>
                          <w:szCs w:val="18"/>
                        </w:rPr>
                      </w:pPr>
                      <w:r w:rsidRPr="008A3451">
                        <w:rPr>
                          <w:sz w:val="18"/>
                          <w:szCs w:val="18"/>
                        </w:rPr>
                        <w:t xml:space="preserve">Example </w:t>
                      </w:r>
                      <w:r w:rsidR="006B495C" w:rsidRPr="008A3451">
                        <w:rPr>
                          <w:sz w:val="18"/>
                          <w:szCs w:val="18"/>
                        </w:rPr>
                        <w:t>7</w:t>
                      </w:r>
                      <w:r w:rsidRPr="008A3451">
                        <w:rPr>
                          <w:sz w:val="18"/>
                          <w:szCs w:val="18"/>
                        </w:rPr>
                        <w:t xml:space="preserve">. </w:t>
                      </w:r>
                      <w:r w:rsidR="00F27EB9" w:rsidRPr="008A3451">
                        <w:rPr>
                          <w:b/>
                          <w:bCs/>
                          <w:sz w:val="18"/>
                          <w:szCs w:val="18"/>
                        </w:rPr>
                        <w:t>A whole</w:t>
                      </w:r>
                      <w:r w:rsidR="00F81E13">
                        <w:rPr>
                          <w:b/>
                          <w:bCs/>
                          <w:sz w:val="18"/>
                          <w:szCs w:val="18"/>
                        </w:rPr>
                        <w:t>-</w:t>
                      </w:r>
                      <w:r w:rsidR="00F27EB9" w:rsidRPr="008A3451">
                        <w:rPr>
                          <w:b/>
                          <w:bCs/>
                          <w:sz w:val="18"/>
                          <w:szCs w:val="18"/>
                        </w:rPr>
                        <w:t>of</w:t>
                      </w:r>
                      <w:r w:rsidR="00F81E13">
                        <w:rPr>
                          <w:b/>
                          <w:bCs/>
                          <w:sz w:val="18"/>
                          <w:szCs w:val="18"/>
                        </w:rPr>
                        <w:t>-</w:t>
                      </w:r>
                      <w:r w:rsidR="00F27EB9" w:rsidRPr="008A3451">
                        <w:rPr>
                          <w:b/>
                          <w:bCs/>
                          <w:sz w:val="18"/>
                          <w:szCs w:val="18"/>
                        </w:rPr>
                        <w:t>government approach to the administration of competition law</w:t>
                      </w:r>
                      <w:r w:rsidR="00F27EB9" w:rsidRPr="008A3451">
                        <w:rPr>
                          <w:sz w:val="18"/>
                          <w:szCs w:val="18"/>
                        </w:rPr>
                        <w:t xml:space="preserve"> </w:t>
                      </w:r>
                    </w:p>
                    <w:p w14:paraId="187B6413" w14:textId="604AEBE0" w:rsidR="00E816C2" w:rsidRPr="008A3451" w:rsidRDefault="00E816C2" w:rsidP="00140A64">
                      <w:pPr>
                        <w:spacing w:before="60" w:after="60" w:line="264" w:lineRule="auto"/>
                        <w:rPr>
                          <w:sz w:val="18"/>
                          <w:szCs w:val="18"/>
                        </w:rPr>
                      </w:pPr>
                      <w:r w:rsidRPr="008A3451">
                        <w:rPr>
                          <w:sz w:val="18"/>
                          <w:szCs w:val="18"/>
                        </w:rPr>
                        <w:t xml:space="preserve">US Department of Agriculture (USDA) </w:t>
                      </w:r>
                      <w:r w:rsidR="00B125CB" w:rsidRPr="008A3451">
                        <w:rPr>
                          <w:sz w:val="18"/>
                          <w:szCs w:val="18"/>
                        </w:rPr>
                        <w:t>–</w:t>
                      </w:r>
                      <w:r w:rsidRPr="008A3451">
                        <w:rPr>
                          <w:sz w:val="18"/>
                          <w:szCs w:val="18"/>
                        </w:rPr>
                        <w:t xml:space="preserve"> </w:t>
                      </w:r>
                      <w:hyperlink r:id="rId42" w:history="1">
                        <w:r w:rsidR="00F27EB9" w:rsidRPr="008A3451">
                          <w:rPr>
                            <w:rStyle w:val="Hyperlink"/>
                            <w:b/>
                            <w:bCs/>
                            <w:sz w:val="18"/>
                            <w:szCs w:val="18"/>
                          </w:rPr>
                          <w:t>More and Better Choices for Farmers</w:t>
                        </w:r>
                      </w:hyperlink>
                      <w:r w:rsidR="00F27EB9" w:rsidRPr="008A3451">
                        <w:rPr>
                          <w:sz w:val="18"/>
                          <w:szCs w:val="18"/>
                        </w:rPr>
                        <w:t>: Promoting Fair Competition and Innovation in Seeds and Other Agricultural Inputs</w:t>
                      </w:r>
                    </w:p>
                    <w:p w14:paraId="0F06B027" w14:textId="5B1EFE64" w:rsidR="007959CE" w:rsidRPr="008A3451" w:rsidRDefault="009F6990" w:rsidP="00140A64">
                      <w:pPr>
                        <w:spacing w:before="60" w:after="60" w:line="264" w:lineRule="auto"/>
                        <w:rPr>
                          <w:sz w:val="18"/>
                          <w:szCs w:val="18"/>
                          <w:lang w:val="en-AU"/>
                        </w:rPr>
                      </w:pPr>
                      <w:r w:rsidRPr="008A3451">
                        <w:rPr>
                          <w:sz w:val="18"/>
                          <w:szCs w:val="18"/>
                        </w:rPr>
                        <w:t>In July 2021, President Biden issued an Executive Order on Promoting Competition in the American Economy.</w:t>
                      </w:r>
                      <w:r w:rsidR="0000387C" w:rsidRPr="008A3451">
                        <w:rPr>
                          <w:sz w:val="18"/>
                          <w:szCs w:val="18"/>
                        </w:rPr>
                        <w:t xml:space="preserve"> </w:t>
                      </w:r>
                      <w:r w:rsidRPr="008A3451">
                        <w:rPr>
                          <w:sz w:val="18"/>
                          <w:szCs w:val="18"/>
                        </w:rPr>
                        <w:t xml:space="preserve">The order established a historic whole-of-government approach to competition policy, recognizing the sweeping problem of consolidation across industries in the United States. </w:t>
                      </w:r>
                      <w:r w:rsidR="00B125CB" w:rsidRPr="008A3451">
                        <w:rPr>
                          <w:sz w:val="18"/>
                          <w:szCs w:val="18"/>
                        </w:rPr>
                        <w:t>I</w:t>
                      </w:r>
                      <w:r w:rsidR="00F27EB9" w:rsidRPr="008A3451">
                        <w:rPr>
                          <w:sz w:val="18"/>
                          <w:szCs w:val="18"/>
                        </w:rPr>
                        <w:t>n consultation with the Patent and Trademark Office (USPTO), the Department of Justice Antitrust Division, and the Federal Trade Commission</w:t>
                      </w:r>
                      <w:r w:rsidR="00B125CB" w:rsidRPr="008A3451">
                        <w:rPr>
                          <w:sz w:val="18"/>
                          <w:szCs w:val="18"/>
                        </w:rPr>
                        <w:t>, USDA in</w:t>
                      </w:r>
                      <w:r w:rsidR="00F27EB9" w:rsidRPr="008A3451">
                        <w:rPr>
                          <w:sz w:val="18"/>
                          <w:szCs w:val="18"/>
                        </w:rPr>
                        <w:t xml:space="preserve"> </w:t>
                      </w:r>
                      <w:r w:rsidR="00B125CB" w:rsidRPr="008A3451">
                        <w:rPr>
                          <w:sz w:val="18"/>
                          <w:szCs w:val="18"/>
                        </w:rPr>
                        <w:t>t</w:t>
                      </w:r>
                      <w:r w:rsidR="00F27EB9" w:rsidRPr="008A3451">
                        <w:rPr>
                          <w:sz w:val="18"/>
                          <w:szCs w:val="18"/>
                        </w:rPr>
                        <w:t>he report discussed competition dynamics in the seed industry, detailing its cross-over effects on systems resiliency, sustainability, and environmental protection.</w:t>
                      </w:r>
                      <w:r w:rsidR="00D15F63" w:rsidRPr="008A3451">
                        <w:rPr>
                          <w:sz w:val="18"/>
                          <w:szCs w:val="18"/>
                        </w:rPr>
                        <w:t xml:space="preserve"> </w:t>
                      </w:r>
                      <w:r w:rsidR="003A1988" w:rsidRPr="008A3451">
                        <w:rPr>
                          <w:sz w:val="18"/>
                          <w:szCs w:val="18"/>
                        </w:rPr>
                        <w:t xml:space="preserve">To deliver on its recommendations, USDA and the U.S. Patent and Trademark Office (USPTO) will form a Working Group on IP &amp; Competition in Seeds and Other Agricultural Inputs, </w:t>
                      </w:r>
                      <w:r w:rsidR="00F81E13">
                        <w:rPr>
                          <w:sz w:val="18"/>
                          <w:szCs w:val="18"/>
                        </w:rPr>
                        <w:t>in which</w:t>
                      </w:r>
                      <w:r w:rsidR="00F81E13" w:rsidRPr="008A3451">
                        <w:rPr>
                          <w:sz w:val="18"/>
                          <w:szCs w:val="18"/>
                        </w:rPr>
                        <w:t xml:space="preserve"> </w:t>
                      </w:r>
                      <w:r w:rsidR="003A1988" w:rsidRPr="008A3451">
                        <w:rPr>
                          <w:sz w:val="18"/>
                          <w:szCs w:val="18"/>
                        </w:rPr>
                        <w:t>USDA and USPTO, together with Department of Justice and the Federal Trade Commission, will work together to promote fair competition in the seed market.</w:t>
                      </w:r>
                    </w:p>
                  </w:txbxContent>
                </v:textbox>
                <w10:wrap type="topAndBottom" anchorx="margin"/>
              </v:shape>
            </w:pict>
          </mc:Fallback>
        </mc:AlternateContent>
      </w:r>
      <w:r w:rsidR="00300FD0" w:rsidRPr="00D00FFA">
        <w:t>C</w:t>
      </w:r>
      <w:r w:rsidR="006619FE" w:rsidRPr="00D00FFA">
        <w:t xml:space="preserve">ompetition law and acting in concert regulations </w:t>
      </w:r>
      <w:r w:rsidR="00500188" w:rsidRPr="00D00FFA">
        <w:t xml:space="preserve">should </w:t>
      </w:r>
      <w:r w:rsidR="00FF09D4" w:rsidRPr="00D00FFA">
        <w:t xml:space="preserve">evolve and adapt to </w:t>
      </w:r>
      <w:r w:rsidR="00300FD0" w:rsidRPr="00D00FFA">
        <w:t>the new market reality to meet twenty-first century challenge</w:t>
      </w:r>
      <w:r w:rsidR="00EC4398" w:rsidRPr="00D00FFA">
        <w:t>s</w:t>
      </w:r>
      <w:r w:rsidR="00300FD0" w:rsidRPr="00D00FFA">
        <w:t>, particularly system</w:t>
      </w:r>
      <w:r w:rsidR="00851FD8" w:rsidRPr="00D00FFA">
        <w:t>-</w:t>
      </w:r>
      <w:r w:rsidR="00300FD0" w:rsidRPr="00D00FFA">
        <w:t xml:space="preserve">level risks such as climate change. </w:t>
      </w:r>
      <w:r w:rsidR="0018142C" w:rsidRPr="00D00FFA">
        <w:t>A whole</w:t>
      </w:r>
      <w:r w:rsidR="00EC4398" w:rsidRPr="00D00FFA">
        <w:t>-</w:t>
      </w:r>
      <w:r w:rsidR="0018142C" w:rsidRPr="00D00FFA">
        <w:t>of</w:t>
      </w:r>
      <w:r w:rsidR="00EC4398" w:rsidRPr="00D00FFA">
        <w:t>-</w:t>
      </w:r>
      <w:r w:rsidR="0018142C" w:rsidRPr="00D00FFA">
        <w:t xml:space="preserve">government approach is crucial to strike </w:t>
      </w:r>
      <w:r w:rsidR="0062344A" w:rsidRPr="00D00FFA">
        <w:t xml:space="preserve">the right balance </w:t>
      </w:r>
      <w:r w:rsidR="00D150DE" w:rsidRPr="00D00FFA">
        <w:t xml:space="preserve">between enabling investors to </w:t>
      </w:r>
      <w:r w:rsidR="00004D4D" w:rsidRPr="00D00FFA">
        <w:t>pursue sustainability impacts</w:t>
      </w:r>
      <w:r w:rsidR="00D150DE" w:rsidRPr="00D00FFA">
        <w:t xml:space="preserve"> and </w:t>
      </w:r>
      <w:r w:rsidR="000E4065" w:rsidRPr="00D00FFA">
        <w:t xml:space="preserve">ensuring </w:t>
      </w:r>
      <w:r w:rsidR="0077582A" w:rsidRPr="00D00FFA">
        <w:t>the</w:t>
      </w:r>
      <w:r w:rsidR="00CC6D3B" w:rsidRPr="00D00FFA">
        <w:t xml:space="preserve"> concerted</w:t>
      </w:r>
      <w:r w:rsidR="0077582A" w:rsidRPr="00D00FFA">
        <w:t xml:space="preserve"> </w:t>
      </w:r>
      <w:r w:rsidR="00AE62A7" w:rsidRPr="00D00FFA">
        <w:t>investor power</w:t>
      </w:r>
      <w:r w:rsidR="002C3708" w:rsidRPr="00D00FFA">
        <w:t xml:space="preserve"> is not</w:t>
      </w:r>
      <w:r w:rsidR="00620831" w:rsidRPr="00D00FFA">
        <w:t xml:space="preserve"> </w:t>
      </w:r>
      <w:r w:rsidR="002C3708" w:rsidRPr="00D00FFA">
        <w:t>a</w:t>
      </w:r>
      <w:r w:rsidR="00620831" w:rsidRPr="00D00FFA">
        <w:t>bused</w:t>
      </w:r>
      <w:r w:rsidR="00CC6D3B" w:rsidRPr="00D00FFA">
        <w:t xml:space="preserve"> to the detriment of fair competition and </w:t>
      </w:r>
      <w:r w:rsidR="00AE62A7" w:rsidRPr="00D00FFA">
        <w:t>market integrity</w:t>
      </w:r>
      <w:r w:rsidR="00121F23" w:rsidRPr="00D00FFA">
        <w:t>.</w:t>
      </w:r>
      <w:r w:rsidR="0003537C" w:rsidRPr="00F8177B">
        <w:t xml:space="preserve"> Historically, competitor collaborations have been assessed using the lens of maximizing efficiency, rather than </w:t>
      </w:r>
      <w:r w:rsidR="001A028D" w:rsidRPr="00F8177B">
        <w:t xml:space="preserve">wider </w:t>
      </w:r>
      <w:r w:rsidR="0003537C" w:rsidRPr="00F8177B">
        <w:t xml:space="preserve">sustainability benefits. </w:t>
      </w:r>
      <w:r w:rsidR="00F81E13" w:rsidRPr="00D00FFA">
        <w:t xml:space="preserve">Competition or securities regulators need insights from other government departments, such as agencies that govern environmental protection, climate change, or human rights, </w:t>
      </w:r>
      <w:r w:rsidR="00352459" w:rsidRPr="00D00FFA">
        <w:t>to consider</w:t>
      </w:r>
      <w:r w:rsidR="00F860CC" w:rsidRPr="00D00FFA">
        <w:t xml:space="preserve"> </w:t>
      </w:r>
      <w:r w:rsidR="00F81E13" w:rsidRPr="00D00FFA">
        <w:t xml:space="preserve">and </w:t>
      </w:r>
      <w:r w:rsidR="00F860CC" w:rsidRPr="00D00FFA">
        <w:t>recognize</w:t>
      </w:r>
      <w:r w:rsidR="00F81E13" w:rsidRPr="00D00FFA">
        <w:t xml:space="preserve"> sustainability gains</w:t>
      </w:r>
      <w:r w:rsidR="00352459" w:rsidRPr="00D00FFA">
        <w:t xml:space="preserve"> </w:t>
      </w:r>
      <w:r w:rsidR="00F81E13" w:rsidRPr="00D00FFA">
        <w:t>when</w:t>
      </w:r>
      <w:r w:rsidR="00F860CC" w:rsidRPr="00D00FFA">
        <w:t xml:space="preserve"> assess</w:t>
      </w:r>
      <w:r w:rsidR="00F81E13" w:rsidRPr="00D00FFA">
        <w:t>ing</w:t>
      </w:r>
      <w:r w:rsidR="00F860CC" w:rsidRPr="00D00FFA">
        <w:t xml:space="preserve"> </w:t>
      </w:r>
      <w:r w:rsidR="006A38EF" w:rsidRPr="00D00FFA">
        <w:t>the benefits and harms of investor collaboration</w:t>
      </w:r>
      <w:r w:rsidR="00F81E13" w:rsidRPr="00D00FFA">
        <w:t>.</w:t>
      </w:r>
      <w:r w:rsidR="006A38EF" w:rsidRPr="00D00FFA">
        <w:t xml:space="preserve"> </w:t>
      </w:r>
      <w:r w:rsidR="00F81E13" w:rsidRPr="00D00FFA">
        <w:t xml:space="preserve">They also need </w:t>
      </w:r>
      <w:r w:rsidR="00EE56B4" w:rsidRPr="00D00FFA">
        <w:t>to develop</w:t>
      </w:r>
      <w:r w:rsidR="00D511BB" w:rsidRPr="00D00FFA">
        <w:t xml:space="preserve"> new tools </w:t>
      </w:r>
      <w:r w:rsidR="001B594A" w:rsidRPr="00D00FFA">
        <w:t>for measuring when</w:t>
      </w:r>
      <w:r w:rsidR="00874DFF" w:rsidRPr="00D00FFA">
        <w:t xml:space="preserve"> and how</w:t>
      </w:r>
      <w:r w:rsidR="001B594A" w:rsidRPr="00D00FFA">
        <w:t xml:space="preserve"> investor collaboration can </w:t>
      </w:r>
      <w:r w:rsidR="00874DFF" w:rsidRPr="00D00FFA">
        <w:t>produce sustainability gains</w:t>
      </w:r>
      <w:r w:rsidR="00FA654E" w:rsidRPr="00D00FFA">
        <w:t xml:space="preserve"> and collect more evidence</w:t>
      </w:r>
      <w:r w:rsidR="00E02CF8" w:rsidRPr="00D00FFA">
        <w:t xml:space="preserve"> to</w:t>
      </w:r>
      <w:r w:rsidR="00FA654E" w:rsidRPr="00D00FFA">
        <w:t xml:space="preserve"> </w:t>
      </w:r>
      <w:r w:rsidR="00234EC1" w:rsidRPr="00D00FFA">
        <w:t>inform tailored decision making</w:t>
      </w:r>
      <w:r w:rsidR="00874DFF" w:rsidRPr="00D00FFA">
        <w:t>.</w:t>
      </w:r>
      <w:r w:rsidR="006E4477" w:rsidRPr="00D00FFA">
        <w:rPr>
          <w:rStyle w:val="FootnoteReference"/>
        </w:rPr>
        <w:footnoteReference w:id="26"/>
      </w:r>
      <w:r w:rsidR="001A103B">
        <w:t xml:space="preserve"> </w:t>
      </w:r>
    </w:p>
    <w:p w14:paraId="59FDCFE1" w14:textId="6B3976AD" w:rsidR="005804BC" w:rsidRPr="00F8177B" w:rsidRDefault="005804BC" w:rsidP="000F2F1A">
      <w:pPr>
        <w:pStyle w:val="Heading1"/>
        <w:rPr>
          <w:rStyle w:val="Hyperlink"/>
          <w:color w:val="2F5496" w:themeColor="accent1" w:themeShade="BF"/>
          <w:u w:val="none"/>
        </w:rPr>
      </w:pPr>
      <w:bookmarkStart w:id="27" w:name="_Toc172287047"/>
      <w:r w:rsidRPr="00F8177B">
        <w:lastRenderedPageBreak/>
        <w:t xml:space="preserve">appendix: </w:t>
      </w:r>
      <w:r w:rsidR="00FE11E2" w:rsidRPr="00F8177B">
        <w:t>Policy frameworks and recent developments in key markets</w:t>
      </w:r>
      <w:bookmarkEnd w:id="27"/>
    </w:p>
    <w:tbl>
      <w:tblPr>
        <w:tblStyle w:val="GridTable4-Accent1"/>
        <w:tblW w:w="9351" w:type="dxa"/>
        <w:tblLook w:val="04A0" w:firstRow="1" w:lastRow="0" w:firstColumn="1" w:lastColumn="0" w:noHBand="0" w:noVBand="1"/>
      </w:tblPr>
      <w:tblGrid>
        <w:gridCol w:w="1129"/>
        <w:gridCol w:w="8222"/>
      </w:tblGrid>
      <w:tr w:rsidR="001F0532" w:rsidRPr="00F8177B" w14:paraId="00C37828" w14:textId="77777777" w:rsidTr="17FE7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B07DB42" w14:textId="01A61428" w:rsidR="001F0532" w:rsidRPr="00F8177B" w:rsidRDefault="001F0532" w:rsidP="006161EC">
            <w:pPr>
              <w:spacing w:line="264" w:lineRule="auto"/>
              <w:rPr>
                <w:sz w:val="18"/>
                <w:szCs w:val="18"/>
              </w:rPr>
            </w:pPr>
            <w:r w:rsidRPr="00F8177B">
              <w:rPr>
                <w:sz w:val="18"/>
                <w:szCs w:val="18"/>
              </w:rPr>
              <w:t xml:space="preserve">Country </w:t>
            </w:r>
          </w:p>
        </w:tc>
        <w:tc>
          <w:tcPr>
            <w:tcW w:w="8222" w:type="dxa"/>
          </w:tcPr>
          <w:p w14:paraId="577363AB" w14:textId="17391658" w:rsidR="001F0532" w:rsidRPr="00F8177B" w:rsidRDefault="00DA767E" w:rsidP="006161EC">
            <w:pPr>
              <w:spacing w:line="264" w:lineRule="auto"/>
              <w:cnfStyle w:val="100000000000" w:firstRow="1" w:lastRow="0" w:firstColumn="0" w:lastColumn="0" w:oddVBand="0" w:evenVBand="0" w:oddHBand="0" w:evenHBand="0" w:firstRowFirstColumn="0" w:firstRowLastColumn="0" w:lastRowFirstColumn="0" w:lastRowLastColumn="0"/>
              <w:rPr>
                <w:sz w:val="18"/>
                <w:szCs w:val="18"/>
              </w:rPr>
            </w:pPr>
            <w:r w:rsidRPr="00F8177B">
              <w:rPr>
                <w:sz w:val="18"/>
                <w:szCs w:val="18"/>
              </w:rPr>
              <w:t>Policy framework and recent development</w:t>
            </w:r>
          </w:p>
        </w:tc>
      </w:tr>
      <w:tr w:rsidR="00567554" w:rsidRPr="00F8177B" w14:paraId="586AD26F" w14:textId="77777777" w:rsidTr="17FE7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4730237" w14:textId="3A255077" w:rsidR="00567554" w:rsidRPr="00F8177B" w:rsidRDefault="00567554" w:rsidP="006161EC">
            <w:pPr>
              <w:spacing w:line="264" w:lineRule="auto"/>
              <w:rPr>
                <w:sz w:val="18"/>
                <w:szCs w:val="18"/>
              </w:rPr>
            </w:pPr>
            <w:r w:rsidRPr="00F8177B">
              <w:rPr>
                <w:sz w:val="18"/>
                <w:szCs w:val="18"/>
              </w:rPr>
              <w:t xml:space="preserve">Australia </w:t>
            </w:r>
          </w:p>
        </w:tc>
        <w:tc>
          <w:tcPr>
            <w:tcW w:w="8222" w:type="dxa"/>
          </w:tcPr>
          <w:p w14:paraId="2CD7CCE8" w14:textId="23793F19" w:rsidR="00975221" w:rsidRPr="00F8177B" w:rsidRDefault="00975221" w:rsidP="006161EC">
            <w:p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ASIC’s regulatory guidance</w:t>
            </w:r>
            <w:r w:rsidRPr="00F8177B">
              <w:rPr>
                <w:i/>
                <w:sz w:val="18"/>
                <w:szCs w:val="18"/>
              </w:rPr>
              <w:t xml:space="preserve"> </w:t>
            </w:r>
            <w:r w:rsidRPr="00F8177B">
              <w:rPr>
                <w:sz w:val="18"/>
                <w:szCs w:val="18"/>
              </w:rPr>
              <w:t xml:space="preserve">RG 128: Collective action by investors, aims to facilitate collaborative action while clarifying when investors can expect certain conduct to trigger takeover and substantial holding provisions under the Corporations Act. </w:t>
            </w:r>
            <w:r w:rsidR="00266895" w:rsidRPr="00F8177B">
              <w:rPr>
                <w:sz w:val="18"/>
                <w:szCs w:val="18"/>
              </w:rPr>
              <w:t>RG 128 notes that while in some instances it can be clear whether conduct falls within or outside the scope of the legal provisions, due to the nature of concepts like ‘relevant agreement’ and ‘associate’, there can be uncertainty about their application to a variety of conducts</w:t>
            </w:r>
            <w:r w:rsidR="0082613F" w:rsidRPr="00F8177B">
              <w:rPr>
                <w:sz w:val="18"/>
                <w:szCs w:val="18"/>
              </w:rPr>
              <w:t xml:space="preserve">. </w:t>
            </w:r>
          </w:p>
          <w:p w14:paraId="2B28D472" w14:textId="4C27888A" w:rsidR="00644800" w:rsidRPr="00F8177B" w:rsidRDefault="002418C6" w:rsidP="006161EC">
            <w:p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Australian industry associations appear to encourage some form of cooperation between Asset Owners and Investment Managers in relation to stewardship.</w:t>
            </w:r>
          </w:p>
        </w:tc>
      </w:tr>
      <w:tr w:rsidR="001F0532" w:rsidRPr="00F8177B" w14:paraId="699EBF55" w14:textId="77777777" w:rsidTr="17FE73AC">
        <w:tc>
          <w:tcPr>
            <w:cnfStyle w:val="001000000000" w:firstRow="0" w:lastRow="0" w:firstColumn="1" w:lastColumn="0" w:oddVBand="0" w:evenVBand="0" w:oddHBand="0" w:evenHBand="0" w:firstRowFirstColumn="0" w:firstRowLastColumn="0" w:lastRowFirstColumn="0" w:lastRowLastColumn="0"/>
            <w:tcW w:w="1129" w:type="dxa"/>
          </w:tcPr>
          <w:p w14:paraId="65E5529F" w14:textId="637F8C14" w:rsidR="001F0532" w:rsidRPr="00F8177B" w:rsidRDefault="00567554" w:rsidP="006161EC">
            <w:pPr>
              <w:spacing w:line="264" w:lineRule="auto"/>
              <w:rPr>
                <w:sz w:val="18"/>
                <w:szCs w:val="18"/>
              </w:rPr>
            </w:pPr>
            <w:r w:rsidRPr="00F8177B">
              <w:rPr>
                <w:sz w:val="18"/>
                <w:szCs w:val="18"/>
              </w:rPr>
              <w:t xml:space="preserve">Canada </w:t>
            </w:r>
          </w:p>
        </w:tc>
        <w:tc>
          <w:tcPr>
            <w:tcW w:w="8222" w:type="dxa"/>
          </w:tcPr>
          <w:p w14:paraId="299F9187" w14:textId="076D3D4F" w:rsidR="001F0532" w:rsidRPr="00F8177B" w:rsidRDefault="65540EDE" w:rsidP="006161EC">
            <w:pPr>
              <w:spacing w:line="264" w:lineRule="auto"/>
              <w:cnfStyle w:val="000000000000" w:firstRow="0" w:lastRow="0" w:firstColumn="0" w:lastColumn="0" w:oddVBand="0" w:evenVBand="0" w:oddHBand="0" w:evenHBand="0" w:firstRowFirstColumn="0" w:firstRowLastColumn="0" w:lastRowFirstColumn="0" w:lastRowLastColumn="0"/>
              <w:rPr>
                <w:sz w:val="18"/>
                <w:szCs w:val="18"/>
              </w:rPr>
            </w:pPr>
            <w:r w:rsidRPr="00F8177B">
              <w:rPr>
                <w:sz w:val="18"/>
                <w:szCs w:val="18"/>
              </w:rPr>
              <w:t xml:space="preserve">Collaborative engagements are permitted under Canadian law, but not required. There is currently no regulatory oversight of investor stewardship or </w:t>
            </w:r>
            <w:r w:rsidR="001D1EA1" w:rsidRPr="00F8177B">
              <w:rPr>
                <w:sz w:val="18"/>
                <w:szCs w:val="18"/>
              </w:rPr>
              <w:t xml:space="preserve">investor collaboration </w:t>
            </w:r>
            <w:r w:rsidRPr="00F8177B">
              <w:rPr>
                <w:sz w:val="18"/>
                <w:szCs w:val="18"/>
              </w:rPr>
              <w:t xml:space="preserve">activities. In the absence of regulatory expectation, the Canadian Coalition of Good Governance has published voluntary </w:t>
            </w:r>
            <w:hyperlink r:id="rId43" w:history="1">
              <w:r w:rsidRPr="00F8177B">
                <w:rPr>
                  <w:sz w:val="18"/>
                  <w:szCs w:val="18"/>
                </w:rPr>
                <w:t>Stewardship Principles</w:t>
              </w:r>
            </w:hyperlink>
            <w:r w:rsidRPr="00F8177B">
              <w:rPr>
                <w:sz w:val="18"/>
                <w:szCs w:val="18"/>
              </w:rPr>
              <w:t xml:space="preserve"> to articulate ownership responsibilities. Climate Engagement Canada (CEC), a voluntary, investor-led initiative, was developed to facilitate collaborative stewardship activities with high-emitting Canadian companies</w:t>
            </w:r>
            <w:r w:rsidR="00F8177B" w:rsidRPr="00F8177B">
              <w:rPr>
                <w:sz w:val="18"/>
                <w:szCs w:val="18"/>
              </w:rPr>
              <w:t xml:space="preserve">. </w:t>
            </w:r>
          </w:p>
        </w:tc>
      </w:tr>
      <w:tr w:rsidR="001F0532" w:rsidRPr="00F8177B" w14:paraId="62E2EE1E" w14:textId="77777777" w:rsidTr="17FE7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A1F112D" w14:textId="1F220F45" w:rsidR="001F0532" w:rsidRPr="00F8177B" w:rsidRDefault="00567554" w:rsidP="006161EC">
            <w:pPr>
              <w:spacing w:line="264" w:lineRule="auto"/>
              <w:rPr>
                <w:sz w:val="18"/>
                <w:szCs w:val="18"/>
              </w:rPr>
            </w:pPr>
            <w:r w:rsidRPr="00F8177B">
              <w:rPr>
                <w:sz w:val="18"/>
                <w:szCs w:val="18"/>
              </w:rPr>
              <w:t xml:space="preserve">China </w:t>
            </w:r>
          </w:p>
        </w:tc>
        <w:tc>
          <w:tcPr>
            <w:tcW w:w="8222" w:type="dxa"/>
          </w:tcPr>
          <w:p w14:paraId="52B6BD95" w14:textId="2B7877FB" w:rsidR="001F0532" w:rsidRPr="00F8177B" w:rsidRDefault="00F56F2C" w:rsidP="006161EC">
            <w:p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There is no law or regulation explicitly prohibiting</w:t>
            </w:r>
            <w:r w:rsidR="00122DF6" w:rsidRPr="00F8177B">
              <w:rPr>
                <w:sz w:val="18"/>
                <w:szCs w:val="18"/>
              </w:rPr>
              <w:t xml:space="preserve"> or encouraging</w:t>
            </w:r>
            <w:r w:rsidRPr="00F8177B">
              <w:rPr>
                <w:sz w:val="18"/>
                <w:szCs w:val="18"/>
              </w:rPr>
              <w:t xml:space="preserve"> institutional investors from collaborating with others for stewardship activities</w:t>
            </w:r>
            <w:r w:rsidR="00F81E13" w:rsidRPr="00F8177B">
              <w:rPr>
                <w:sz w:val="18"/>
                <w:szCs w:val="18"/>
              </w:rPr>
              <w:t>.</w:t>
            </w:r>
            <w:r w:rsidRPr="00F8177B">
              <w:rPr>
                <w:sz w:val="18"/>
                <w:szCs w:val="18"/>
              </w:rPr>
              <w:t xml:space="preserve"> </w:t>
            </w:r>
            <w:r w:rsidR="00F81E13" w:rsidRPr="00F8177B">
              <w:rPr>
                <w:sz w:val="18"/>
                <w:szCs w:val="18"/>
              </w:rPr>
              <w:t>H</w:t>
            </w:r>
            <w:r w:rsidRPr="00F8177B">
              <w:rPr>
                <w:sz w:val="18"/>
                <w:szCs w:val="18"/>
              </w:rPr>
              <w:t>owever, there may be material impediments or deterrents to cooperation of this sort, including</w:t>
            </w:r>
            <w:r w:rsidR="00F81E13" w:rsidRPr="00F8177B">
              <w:rPr>
                <w:sz w:val="18"/>
                <w:szCs w:val="18"/>
              </w:rPr>
              <w:t>:</w:t>
            </w:r>
          </w:p>
          <w:p w14:paraId="23B34B8E" w14:textId="179D2466" w:rsidR="00E52ED6" w:rsidRPr="00F8177B" w:rsidRDefault="00F81E13" w:rsidP="006161EC">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c</w:t>
            </w:r>
            <w:r w:rsidR="00E52ED6" w:rsidRPr="00F8177B">
              <w:rPr>
                <w:sz w:val="18"/>
                <w:szCs w:val="18"/>
              </w:rPr>
              <w:t xml:space="preserve">ompetition law </w:t>
            </w:r>
          </w:p>
          <w:p w14:paraId="5E1381AC" w14:textId="2A465EE6" w:rsidR="00E52ED6" w:rsidRPr="00F8177B" w:rsidRDefault="00F81E13" w:rsidP="006161EC">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m</w:t>
            </w:r>
            <w:r w:rsidR="00E52ED6" w:rsidRPr="00F8177B">
              <w:rPr>
                <w:sz w:val="18"/>
                <w:szCs w:val="18"/>
              </w:rPr>
              <w:t xml:space="preserve">erger control </w:t>
            </w:r>
          </w:p>
          <w:p w14:paraId="7C2935B4" w14:textId="68B3663C" w:rsidR="00E52ED6" w:rsidRPr="00F8177B" w:rsidRDefault="00F81E13" w:rsidP="006161EC">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r</w:t>
            </w:r>
            <w:r w:rsidR="00E52ED6" w:rsidRPr="00F8177B">
              <w:rPr>
                <w:sz w:val="18"/>
                <w:szCs w:val="18"/>
              </w:rPr>
              <w:t xml:space="preserve">eporting requirements </w:t>
            </w:r>
          </w:p>
          <w:p w14:paraId="399726FA" w14:textId="4565ECFB" w:rsidR="00E52ED6" w:rsidRPr="00F8177B" w:rsidRDefault="00F81E13" w:rsidP="006161EC">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i</w:t>
            </w:r>
            <w:r w:rsidR="00E52ED6" w:rsidRPr="00F8177B">
              <w:rPr>
                <w:sz w:val="18"/>
                <w:szCs w:val="18"/>
              </w:rPr>
              <w:t xml:space="preserve">nsider and short-swing trading </w:t>
            </w:r>
          </w:p>
          <w:p w14:paraId="2F78918F" w14:textId="72412336" w:rsidR="00E52ED6" w:rsidRPr="00F8177B" w:rsidRDefault="00F81E13" w:rsidP="006161EC">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m</w:t>
            </w:r>
            <w:r w:rsidR="00E52ED6" w:rsidRPr="00F8177B">
              <w:rPr>
                <w:sz w:val="18"/>
                <w:szCs w:val="18"/>
              </w:rPr>
              <w:t xml:space="preserve">andatory tender offer </w:t>
            </w:r>
          </w:p>
          <w:p w14:paraId="64E29109" w14:textId="47F0BA24" w:rsidR="00FC76F9" w:rsidRPr="00F8177B" w:rsidRDefault="11677171" w:rsidP="006161EC">
            <w:p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A public interest e</w:t>
            </w:r>
            <w:r w:rsidR="43573D1F" w:rsidRPr="00F8177B">
              <w:rPr>
                <w:sz w:val="18"/>
                <w:szCs w:val="18"/>
              </w:rPr>
              <w:t xml:space="preserve">xemption </w:t>
            </w:r>
            <w:r w:rsidRPr="00F8177B">
              <w:rPr>
                <w:sz w:val="18"/>
                <w:szCs w:val="18"/>
              </w:rPr>
              <w:t xml:space="preserve">is available under the competition law. Chinese competition law provides an exemption for collaboration arrangements that are intended to realize public interests such as energy efficiency and conservation, environment protection, and the provision of disaster relief and assistance, which may </w:t>
            </w:r>
            <w:r w:rsidR="000507AC" w:rsidRPr="00F8177B">
              <w:rPr>
                <w:sz w:val="18"/>
                <w:szCs w:val="18"/>
              </w:rPr>
              <w:t xml:space="preserve">include </w:t>
            </w:r>
            <w:r w:rsidRPr="00F8177B">
              <w:rPr>
                <w:sz w:val="18"/>
                <w:szCs w:val="18"/>
              </w:rPr>
              <w:t xml:space="preserve">joint efforts designed to achieve sustainability impact. Exempt arrangements must also allow consumers a fair share of the resulting benefits, and must not significantly restrict competition in the market. </w:t>
            </w:r>
          </w:p>
        </w:tc>
      </w:tr>
      <w:tr w:rsidR="001F0532" w:rsidRPr="00F8177B" w14:paraId="73841210" w14:textId="77777777" w:rsidTr="17FE73AC">
        <w:tc>
          <w:tcPr>
            <w:cnfStyle w:val="001000000000" w:firstRow="0" w:lastRow="0" w:firstColumn="1" w:lastColumn="0" w:oddVBand="0" w:evenVBand="0" w:oddHBand="0" w:evenHBand="0" w:firstRowFirstColumn="0" w:firstRowLastColumn="0" w:lastRowFirstColumn="0" w:lastRowLastColumn="0"/>
            <w:tcW w:w="1129" w:type="dxa"/>
          </w:tcPr>
          <w:p w14:paraId="36D5EBA9" w14:textId="7A19D76B" w:rsidR="001F0532" w:rsidRPr="00F8177B" w:rsidRDefault="00567554" w:rsidP="006161EC">
            <w:pPr>
              <w:spacing w:line="264" w:lineRule="auto"/>
              <w:rPr>
                <w:sz w:val="18"/>
                <w:szCs w:val="18"/>
              </w:rPr>
            </w:pPr>
            <w:r w:rsidRPr="00F8177B">
              <w:rPr>
                <w:sz w:val="18"/>
                <w:szCs w:val="18"/>
              </w:rPr>
              <w:t xml:space="preserve">Japan </w:t>
            </w:r>
          </w:p>
        </w:tc>
        <w:tc>
          <w:tcPr>
            <w:tcW w:w="8222" w:type="dxa"/>
          </w:tcPr>
          <w:p w14:paraId="130420EE" w14:textId="77F11DF4" w:rsidR="00DC3188" w:rsidRPr="00F8177B" w:rsidRDefault="50AF01A9" w:rsidP="006161EC">
            <w:pPr>
              <w:spacing w:line="264" w:lineRule="auto"/>
              <w:cnfStyle w:val="000000000000" w:firstRow="0" w:lastRow="0" w:firstColumn="0" w:lastColumn="0" w:oddVBand="0" w:evenVBand="0" w:oddHBand="0" w:evenHBand="0" w:firstRowFirstColumn="0" w:firstRowLastColumn="0" w:lastRowFirstColumn="0" w:lastRowLastColumn="0"/>
              <w:rPr>
                <w:sz w:val="18"/>
                <w:szCs w:val="18"/>
              </w:rPr>
            </w:pPr>
            <w:r w:rsidRPr="00F8177B">
              <w:rPr>
                <w:sz w:val="18"/>
                <w:szCs w:val="18"/>
              </w:rPr>
              <w:t xml:space="preserve">The Principles for Responsible Institutional Investors, known as Japan’s Stewardship Code, has been instrumental in legitimising stewardship activities in the market. Japan’s Stewardship Code supports the use of collaborative methods, stating that </w:t>
            </w:r>
            <w:r w:rsidR="006461AE" w:rsidRPr="00F8177B">
              <w:rPr>
                <w:sz w:val="18"/>
                <w:szCs w:val="18"/>
              </w:rPr>
              <w:t>‘</w:t>
            </w:r>
            <w:r w:rsidRPr="00F8177B">
              <w:rPr>
                <w:sz w:val="18"/>
                <w:szCs w:val="18"/>
              </w:rPr>
              <w:t>in addition to institutional investors engaging with investee companies independently, it would be beneficial for them to engage with investee companies in collaboration with other institutional investors (collaborative engagement) as necessary.</w:t>
            </w:r>
            <w:r w:rsidR="006461AE" w:rsidRPr="00F8177B">
              <w:rPr>
                <w:sz w:val="18"/>
                <w:szCs w:val="18"/>
              </w:rPr>
              <w:t>’</w:t>
            </w:r>
            <w:r w:rsidRPr="00F8177B">
              <w:rPr>
                <w:sz w:val="18"/>
                <w:szCs w:val="18"/>
              </w:rPr>
              <w:t xml:space="preserve"> </w:t>
            </w:r>
          </w:p>
          <w:p w14:paraId="47BE8869" w14:textId="7A98AFEE" w:rsidR="001F0532" w:rsidRPr="00F8177B" w:rsidRDefault="50AF01A9" w:rsidP="006161EC">
            <w:pPr>
              <w:spacing w:line="264" w:lineRule="auto"/>
              <w:cnfStyle w:val="000000000000" w:firstRow="0" w:lastRow="0" w:firstColumn="0" w:lastColumn="0" w:oddVBand="0" w:evenVBand="0" w:oddHBand="0" w:evenHBand="0" w:firstRowFirstColumn="0" w:firstRowLastColumn="0" w:lastRowFirstColumn="0" w:lastRowLastColumn="0"/>
              <w:rPr>
                <w:sz w:val="18"/>
                <w:szCs w:val="18"/>
              </w:rPr>
            </w:pPr>
            <w:r w:rsidRPr="00F8177B">
              <w:rPr>
                <w:sz w:val="18"/>
                <w:szCs w:val="18"/>
              </w:rPr>
              <w:t>In practice, however, some aspects of the Japanese legal framework may make investors cautious of collaborative action. For example,</w:t>
            </w:r>
            <w:r w:rsidR="005D2E7D" w:rsidRPr="00F8177B">
              <w:rPr>
                <w:sz w:val="18"/>
                <w:szCs w:val="18"/>
              </w:rPr>
              <w:t xml:space="preserve"> acting in concert rules </w:t>
            </w:r>
            <w:r w:rsidRPr="00F8177B">
              <w:rPr>
                <w:sz w:val="18"/>
                <w:szCs w:val="18"/>
              </w:rPr>
              <w:t xml:space="preserve">under the Financial Instruments and Exchange Act (FIEA). </w:t>
            </w:r>
            <w:r w:rsidR="6513946A" w:rsidRPr="00F8177B">
              <w:rPr>
                <w:sz w:val="18"/>
                <w:szCs w:val="18"/>
              </w:rPr>
              <w:t>T</w:t>
            </w:r>
            <w:r w:rsidRPr="00F8177B">
              <w:rPr>
                <w:sz w:val="18"/>
                <w:szCs w:val="18"/>
              </w:rPr>
              <w:t xml:space="preserve">he </w:t>
            </w:r>
            <w:r w:rsidR="00D00FFA">
              <w:rPr>
                <w:sz w:val="18"/>
                <w:szCs w:val="18"/>
              </w:rPr>
              <w:t>Financial</w:t>
            </w:r>
            <w:r w:rsidR="00D00FFA">
              <w:rPr>
                <w:rFonts w:eastAsia="DengXian" w:hint="eastAsia"/>
                <w:sz w:val="18"/>
                <w:szCs w:val="18"/>
                <w:lang w:eastAsia="zh-CN"/>
              </w:rPr>
              <w:t xml:space="preserve"> Service </w:t>
            </w:r>
            <w:r w:rsidRPr="00F8177B">
              <w:rPr>
                <w:sz w:val="18"/>
                <w:szCs w:val="18"/>
              </w:rPr>
              <w:t>A</w:t>
            </w:r>
            <w:r w:rsidR="00D00FFA">
              <w:rPr>
                <w:rFonts w:eastAsia="DengXian" w:hint="eastAsia"/>
                <w:sz w:val="18"/>
                <w:szCs w:val="18"/>
                <w:lang w:eastAsia="zh-CN"/>
              </w:rPr>
              <w:t>gency</w:t>
            </w:r>
            <w:r w:rsidRPr="00F8177B">
              <w:rPr>
                <w:sz w:val="18"/>
                <w:szCs w:val="18"/>
              </w:rPr>
              <w:t xml:space="preserve"> has addressed this issue by </w:t>
            </w:r>
            <w:r w:rsidR="00512FE8" w:rsidRPr="00F8177B">
              <w:rPr>
                <w:sz w:val="18"/>
                <w:szCs w:val="18"/>
              </w:rPr>
              <w:t>clarifying the rule</w:t>
            </w:r>
            <w:r w:rsidRPr="00F8177B">
              <w:rPr>
                <w:sz w:val="18"/>
                <w:szCs w:val="18"/>
              </w:rPr>
              <w:t>. Nonetheless, the existing mode of practice still poses limitations, especially as investors pursue stronger stewardship actions to meet sustainability impact goals. The FSA has committed to reviewing the relevant rules and has begun this process in its Financial System Council</w:t>
            </w:r>
            <w:r w:rsidR="5EACFE06" w:rsidRPr="00F8177B">
              <w:rPr>
                <w:sz w:val="18"/>
                <w:szCs w:val="18"/>
              </w:rPr>
              <w:t>, but has not provided clear updates yet on the outcomes of these discussions.</w:t>
            </w:r>
          </w:p>
        </w:tc>
      </w:tr>
      <w:tr w:rsidR="00A43630" w:rsidRPr="00F8177B" w14:paraId="6BEB718F" w14:textId="77777777" w:rsidTr="17FE7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F3D953A" w14:textId="6D1DBC59" w:rsidR="00A43630" w:rsidRPr="00F8177B" w:rsidRDefault="00A43630" w:rsidP="006161EC">
            <w:pPr>
              <w:spacing w:line="264" w:lineRule="auto"/>
              <w:rPr>
                <w:sz w:val="18"/>
                <w:szCs w:val="18"/>
              </w:rPr>
            </w:pPr>
            <w:r w:rsidRPr="00F8177B">
              <w:rPr>
                <w:sz w:val="18"/>
                <w:szCs w:val="18"/>
              </w:rPr>
              <w:t>EU</w:t>
            </w:r>
          </w:p>
        </w:tc>
        <w:tc>
          <w:tcPr>
            <w:tcW w:w="8222" w:type="dxa"/>
          </w:tcPr>
          <w:p w14:paraId="2C61C417" w14:textId="77777777" w:rsidR="005251A5" w:rsidRPr="00F8177B" w:rsidRDefault="005251A5" w:rsidP="006161EC">
            <w:p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Collaboration between investors designed to wield collective ‘shareholder’ influence over the ESG strategy of a company in which they are invested is likely to fall outside the scope of competition law, assuming no competitively sensitive information is shared between investors. Co-operation between investors beyond this is possible but needs to be structured in a way that complies with competition law.</w:t>
            </w:r>
          </w:p>
          <w:p w14:paraId="66E6F33D" w14:textId="1E3782B3" w:rsidR="005251A5" w:rsidRPr="00D00FFA" w:rsidRDefault="005251A5" w:rsidP="006161EC">
            <w:p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D00FFA">
              <w:rPr>
                <w:sz w:val="18"/>
                <w:szCs w:val="18"/>
              </w:rPr>
              <w:lastRenderedPageBreak/>
              <w:t xml:space="preserve">In November 2013, the European Securities and Markets Authority (ESMA) published a White List of activities </w:t>
            </w:r>
            <w:r w:rsidR="00530EB1" w:rsidRPr="00D00FFA">
              <w:rPr>
                <w:sz w:val="18"/>
                <w:szCs w:val="18"/>
              </w:rPr>
              <w:t xml:space="preserve">on which </w:t>
            </w:r>
            <w:r w:rsidRPr="00D00FFA">
              <w:rPr>
                <w:sz w:val="18"/>
                <w:szCs w:val="18"/>
              </w:rPr>
              <w:t xml:space="preserve">shareholders can cooperate without the presumption of acting in concert. </w:t>
            </w:r>
            <w:r w:rsidR="00811315" w:rsidRPr="00D00FFA">
              <w:rPr>
                <w:sz w:val="18"/>
                <w:szCs w:val="18"/>
              </w:rPr>
              <w:t>I</w:t>
            </w:r>
            <w:r w:rsidR="00530EB1" w:rsidRPr="00D00FFA">
              <w:rPr>
                <w:sz w:val="18"/>
                <w:szCs w:val="18"/>
              </w:rPr>
              <w:t xml:space="preserve">t </w:t>
            </w:r>
            <w:r w:rsidR="00811315" w:rsidRPr="00D00FFA">
              <w:rPr>
                <w:sz w:val="18"/>
                <w:szCs w:val="18"/>
              </w:rPr>
              <w:t>was also clarified</w:t>
            </w:r>
            <w:r w:rsidRPr="00D00FFA">
              <w:rPr>
                <w:sz w:val="18"/>
                <w:szCs w:val="18"/>
              </w:rPr>
              <w:t xml:space="preserve"> that shareholder cooperation in activities not included in the White List would not result in an automatic assumption of acting in concert.</w:t>
            </w:r>
          </w:p>
          <w:p w14:paraId="38929F06" w14:textId="46248ED6" w:rsidR="00A43630" w:rsidRPr="00F8177B" w:rsidRDefault="005251A5" w:rsidP="006161EC">
            <w:p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D00FFA">
              <w:rPr>
                <w:sz w:val="18"/>
                <w:szCs w:val="18"/>
              </w:rPr>
              <w:t>In June 2023, the EC issued guidelines ‘’</w:t>
            </w:r>
            <w:r w:rsidRPr="00F8177B">
              <w:rPr>
                <w:sz w:val="18"/>
                <w:szCs w:val="18"/>
              </w:rPr>
              <w:t>on the competitive assessment of agreements between competitors that pursue sustainability objectives’’</w:t>
            </w:r>
            <w:r w:rsidRPr="00F8177B">
              <w:rPr>
                <w:rStyle w:val="FootnoteReference"/>
                <w:color w:val="000000"/>
                <w:sz w:val="18"/>
                <w:szCs w:val="18"/>
              </w:rPr>
              <w:footnoteReference w:id="27"/>
            </w:r>
            <w:r w:rsidRPr="00F8177B">
              <w:rPr>
                <w:sz w:val="18"/>
                <w:szCs w:val="18"/>
              </w:rPr>
              <w:t xml:space="preserve">. The guidelines cover climate change and wider ESG objectives such as human rights, child labour etc. </w:t>
            </w:r>
            <w:r w:rsidR="00794FE4" w:rsidRPr="00F8177B">
              <w:rPr>
                <w:sz w:val="18"/>
                <w:szCs w:val="18"/>
              </w:rPr>
              <w:t>The guideline helpfully clarified w</w:t>
            </w:r>
            <w:r w:rsidR="002638AF" w:rsidRPr="00F8177B">
              <w:rPr>
                <w:sz w:val="18"/>
                <w:szCs w:val="18"/>
              </w:rPr>
              <w:t>hether sustainability agreements will</w:t>
            </w:r>
            <w:r w:rsidR="001A103B">
              <w:rPr>
                <w:sz w:val="18"/>
                <w:szCs w:val="18"/>
              </w:rPr>
              <w:t xml:space="preserve"> </w:t>
            </w:r>
            <w:r w:rsidR="002638AF" w:rsidRPr="00F8177B">
              <w:rPr>
                <w:sz w:val="18"/>
                <w:szCs w:val="18"/>
              </w:rPr>
              <w:t xml:space="preserve">fall in or out of the scope of competition law. It also </w:t>
            </w:r>
            <w:r w:rsidR="005974B2" w:rsidRPr="00F8177B">
              <w:rPr>
                <w:sz w:val="18"/>
                <w:szCs w:val="18"/>
              </w:rPr>
              <w:t>provides</w:t>
            </w:r>
            <w:r w:rsidR="002638AF" w:rsidRPr="00F8177B">
              <w:rPr>
                <w:sz w:val="18"/>
                <w:szCs w:val="18"/>
              </w:rPr>
              <w:t xml:space="preserve"> safe harbours </w:t>
            </w:r>
            <w:r w:rsidRPr="00F8177B">
              <w:rPr>
                <w:sz w:val="18"/>
                <w:szCs w:val="18"/>
              </w:rPr>
              <w:t>for sustainability standardisations agreements (SSAs) that comply with the</w:t>
            </w:r>
            <w:r w:rsidR="00D11E0D" w:rsidRPr="00F8177B">
              <w:rPr>
                <w:sz w:val="18"/>
                <w:szCs w:val="18"/>
              </w:rPr>
              <w:t xml:space="preserve"> certain</w:t>
            </w:r>
            <w:r w:rsidRPr="00F8177B">
              <w:rPr>
                <w:sz w:val="18"/>
                <w:szCs w:val="18"/>
              </w:rPr>
              <w:t xml:space="preserve"> </w:t>
            </w:r>
            <w:r w:rsidR="00D11E0D" w:rsidRPr="00F8177B">
              <w:rPr>
                <w:sz w:val="18"/>
                <w:szCs w:val="18"/>
              </w:rPr>
              <w:t xml:space="preserve">specified </w:t>
            </w:r>
            <w:r w:rsidRPr="00F8177B">
              <w:rPr>
                <w:sz w:val="18"/>
                <w:szCs w:val="18"/>
              </w:rPr>
              <w:t>conditions</w:t>
            </w:r>
            <w:r w:rsidR="00D11E0D" w:rsidRPr="00F8177B">
              <w:rPr>
                <w:sz w:val="18"/>
                <w:szCs w:val="18"/>
              </w:rPr>
              <w:t xml:space="preserve">. </w:t>
            </w:r>
            <w:r w:rsidRPr="00F8177B">
              <w:rPr>
                <w:sz w:val="18"/>
                <w:szCs w:val="18"/>
              </w:rPr>
              <w:t xml:space="preserve">However, even if the SSA does not meet the safe harbour condition, participants can still defend collaboration on the basis that it does not negatively </w:t>
            </w:r>
            <w:r w:rsidR="00530EB1" w:rsidRPr="00F8177B">
              <w:rPr>
                <w:sz w:val="18"/>
                <w:szCs w:val="18"/>
              </w:rPr>
              <w:t xml:space="preserve">affect </w:t>
            </w:r>
            <w:r w:rsidRPr="00F8177B">
              <w:rPr>
                <w:sz w:val="18"/>
                <w:szCs w:val="18"/>
              </w:rPr>
              <w:t>competition or that it leads to efficiency gains</w:t>
            </w:r>
            <w:r w:rsidR="00F8177B" w:rsidRPr="00F8177B">
              <w:rPr>
                <w:sz w:val="18"/>
                <w:szCs w:val="18"/>
              </w:rPr>
              <w:t xml:space="preserve">. </w:t>
            </w:r>
          </w:p>
        </w:tc>
      </w:tr>
      <w:tr w:rsidR="00F53898" w:rsidRPr="00F8177B" w14:paraId="262192E1" w14:textId="77777777" w:rsidTr="17FE73AC">
        <w:tc>
          <w:tcPr>
            <w:cnfStyle w:val="001000000000" w:firstRow="0" w:lastRow="0" w:firstColumn="1" w:lastColumn="0" w:oddVBand="0" w:evenVBand="0" w:oddHBand="0" w:evenHBand="0" w:firstRowFirstColumn="0" w:firstRowLastColumn="0" w:lastRowFirstColumn="0" w:lastRowLastColumn="0"/>
            <w:tcW w:w="1129" w:type="dxa"/>
          </w:tcPr>
          <w:p w14:paraId="47B511E5" w14:textId="03B063E1" w:rsidR="00F53898" w:rsidRPr="00F8177B" w:rsidRDefault="00F53898" w:rsidP="006161EC">
            <w:pPr>
              <w:spacing w:line="264" w:lineRule="auto"/>
              <w:rPr>
                <w:sz w:val="18"/>
                <w:szCs w:val="18"/>
              </w:rPr>
            </w:pPr>
            <w:r w:rsidRPr="00F8177B">
              <w:rPr>
                <w:sz w:val="18"/>
                <w:szCs w:val="18"/>
              </w:rPr>
              <w:lastRenderedPageBreak/>
              <w:t>UK</w:t>
            </w:r>
          </w:p>
        </w:tc>
        <w:tc>
          <w:tcPr>
            <w:tcW w:w="8222" w:type="dxa"/>
          </w:tcPr>
          <w:p w14:paraId="0AAD71D1" w14:textId="0036ED11" w:rsidR="00F53898" w:rsidRPr="00F8177B" w:rsidRDefault="00F53898" w:rsidP="006161EC">
            <w:pPr>
              <w:spacing w:line="264" w:lineRule="auto"/>
              <w:cnfStyle w:val="000000000000" w:firstRow="0" w:lastRow="0" w:firstColumn="0" w:lastColumn="0" w:oddVBand="0" w:evenVBand="0" w:oddHBand="0" w:evenHBand="0" w:firstRowFirstColumn="0" w:firstRowLastColumn="0" w:lastRowFirstColumn="0" w:lastRowLastColumn="0"/>
              <w:rPr>
                <w:sz w:val="18"/>
                <w:szCs w:val="18"/>
              </w:rPr>
            </w:pPr>
            <w:r w:rsidRPr="00F8177B">
              <w:rPr>
                <w:sz w:val="18"/>
                <w:szCs w:val="18"/>
              </w:rPr>
              <w:t xml:space="preserve">The UK Competition and Markets Authority (CMA) in 2022 concluded that there isn’t sufficient evidence that the current competition and consumer law is an obstacle to sustainability initiatives and therefore there is no need for fundamental changes to the frameworks. However, </w:t>
            </w:r>
            <w:r w:rsidR="00530EB1" w:rsidRPr="00F8177B">
              <w:rPr>
                <w:sz w:val="18"/>
                <w:szCs w:val="18"/>
              </w:rPr>
              <w:t xml:space="preserve">the </w:t>
            </w:r>
            <w:r w:rsidRPr="00F8177B">
              <w:rPr>
                <w:sz w:val="18"/>
                <w:szCs w:val="18"/>
              </w:rPr>
              <w:t>CMA does acknowledge that there would be benefits to providing clarity on how these frameworks are applied in a sustainability context.</w:t>
            </w:r>
            <w:r w:rsidRPr="00F8177B">
              <w:rPr>
                <w:sz w:val="18"/>
                <w:szCs w:val="18"/>
                <w:vertAlign w:val="superscript"/>
              </w:rPr>
              <w:footnoteReference w:id="28"/>
            </w:r>
            <w:r w:rsidRPr="00F8177B">
              <w:rPr>
                <w:sz w:val="18"/>
                <w:szCs w:val="18"/>
              </w:rPr>
              <w:t xml:space="preserve"> </w:t>
            </w:r>
          </w:p>
          <w:p w14:paraId="3AF403A4" w14:textId="07CFD70F" w:rsidR="00F53898" w:rsidRPr="00C832DF" w:rsidRDefault="00F53898" w:rsidP="006161EC">
            <w:pPr>
              <w:spacing w:line="264" w:lineRule="auto"/>
              <w:cnfStyle w:val="000000000000" w:firstRow="0" w:lastRow="0" w:firstColumn="0" w:lastColumn="0" w:oddVBand="0" w:evenVBand="0" w:oddHBand="0" w:evenHBand="0" w:firstRowFirstColumn="0" w:firstRowLastColumn="0" w:lastRowFirstColumn="0" w:lastRowLastColumn="0"/>
              <w:rPr>
                <w:sz w:val="18"/>
                <w:szCs w:val="18"/>
              </w:rPr>
            </w:pPr>
            <w:r w:rsidRPr="00F8177B">
              <w:rPr>
                <w:sz w:val="18"/>
                <w:szCs w:val="18"/>
              </w:rPr>
              <w:t>The Sustainability Taskforce was subsequently launched</w:t>
            </w:r>
            <w:r w:rsidR="00530EB1" w:rsidRPr="00F8177B">
              <w:rPr>
                <w:sz w:val="18"/>
                <w:szCs w:val="18"/>
              </w:rPr>
              <w:t>,</w:t>
            </w:r>
            <w:r w:rsidRPr="00F8177B">
              <w:rPr>
                <w:sz w:val="18"/>
                <w:szCs w:val="18"/>
              </w:rPr>
              <w:t xml:space="preserve"> and recently published</w:t>
            </w:r>
            <w:r w:rsidR="00530EB1" w:rsidRPr="00F8177B">
              <w:rPr>
                <w:sz w:val="18"/>
                <w:szCs w:val="18"/>
              </w:rPr>
              <w:t xml:space="preserve"> the</w:t>
            </w:r>
            <w:r w:rsidRPr="00F8177B">
              <w:rPr>
                <w:sz w:val="18"/>
                <w:szCs w:val="18"/>
              </w:rPr>
              <w:t xml:space="preserve"> </w:t>
            </w:r>
            <w:hyperlink r:id="rId44" w:history="1">
              <w:r w:rsidRPr="00F8177B">
                <w:rPr>
                  <w:rStyle w:val="Hyperlink"/>
                  <w:sz w:val="18"/>
                  <w:szCs w:val="18"/>
                </w:rPr>
                <w:t>Green Agreements Guidance</w:t>
              </w:r>
            </w:hyperlink>
            <w:r w:rsidRPr="00F8177B">
              <w:rPr>
                <w:sz w:val="18"/>
                <w:szCs w:val="18"/>
                <w:u w:val="single"/>
              </w:rPr>
              <w:t xml:space="preserve"> </w:t>
            </w:r>
            <w:r w:rsidRPr="00F8177B">
              <w:rPr>
                <w:sz w:val="18"/>
                <w:szCs w:val="18"/>
              </w:rPr>
              <w:t xml:space="preserve">which explains how competition law applies to environmental sustainability agreements between firms. The Guidance provides examples of </w:t>
            </w:r>
            <w:r w:rsidRPr="00C832DF">
              <w:rPr>
                <w:sz w:val="18"/>
                <w:szCs w:val="18"/>
              </w:rPr>
              <w:t xml:space="preserve">environmental sustainability agreements that are unlikely to infringe UK antitrust laws and those that, while capable of restricting competition, may be permitted because of the benefits that they create. The CMA will also be operating an </w:t>
            </w:r>
            <w:r w:rsidR="006461AE" w:rsidRPr="00C832DF">
              <w:rPr>
                <w:sz w:val="18"/>
                <w:szCs w:val="18"/>
              </w:rPr>
              <w:t>‘</w:t>
            </w:r>
            <w:r w:rsidRPr="00C832DF">
              <w:rPr>
                <w:sz w:val="18"/>
                <w:szCs w:val="18"/>
              </w:rPr>
              <w:t>open door policy</w:t>
            </w:r>
            <w:r w:rsidR="006461AE" w:rsidRPr="00C832DF">
              <w:rPr>
                <w:sz w:val="18"/>
                <w:szCs w:val="18"/>
              </w:rPr>
              <w:t>’</w:t>
            </w:r>
            <w:r w:rsidRPr="00C832DF">
              <w:rPr>
                <w:sz w:val="18"/>
                <w:szCs w:val="18"/>
              </w:rPr>
              <w:t xml:space="preserve"> to give informal guidance to businesses to understand how the </w:t>
            </w:r>
            <w:r w:rsidR="00530EB1" w:rsidRPr="00C832DF">
              <w:rPr>
                <w:sz w:val="18"/>
                <w:szCs w:val="18"/>
              </w:rPr>
              <w:t>G</w:t>
            </w:r>
            <w:r w:rsidRPr="00C832DF">
              <w:rPr>
                <w:sz w:val="18"/>
                <w:szCs w:val="18"/>
              </w:rPr>
              <w:t>uidance would be applied to specific initiative</w:t>
            </w:r>
            <w:r w:rsidR="00530EB1" w:rsidRPr="00C832DF">
              <w:rPr>
                <w:sz w:val="18"/>
                <w:szCs w:val="18"/>
              </w:rPr>
              <w:t>s</w:t>
            </w:r>
            <w:r w:rsidRPr="00C832DF">
              <w:rPr>
                <w:sz w:val="18"/>
                <w:szCs w:val="18"/>
              </w:rPr>
              <w:t xml:space="preserve">. It is important to note that the </w:t>
            </w:r>
            <w:r w:rsidR="00530EB1" w:rsidRPr="00C832DF">
              <w:rPr>
                <w:sz w:val="18"/>
                <w:szCs w:val="18"/>
              </w:rPr>
              <w:t>G</w:t>
            </w:r>
            <w:r w:rsidRPr="00C832DF">
              <w:rPr>
                <w:sz w:val="18"/>
                <w:szCs w:val="18"/>
              </w:rPr>
              <w:t xml:space="preserve">uidance is limited in scope to environmental sustainability agreements. </w:t>
            </w:r>
          </w:p>
          <w:p w14:paraId="087C5DA7" w14:textId="39C0651D" w:rsidR="00F53898" w:rsidRPr="00F8177B" w:rsidRDefault="00F53898" w:rsidP="006161EC">
            <w:pPr>
              <w:spacing w:line="264" w:lineRule="auto"/>
              <w:cnfStyle w:val="000000000000" w:firstRow="0" w:lastRow="0" w:firstColumn="0" w:lastColumn="0" w:oddVBand="0" w:evenVBand="0" w:oddHBand="0" w:evenHBand="0" w:firstRowFirstColumn="0" w:firstRowLastColumn="0" w:lastRowFirstColumn="0" w:lastRowLastColumn="0"/>
              <w:rPr>
                <w:sz w:val="18"/>
                <w:szCs w:val="18"/>
              </w:rPr>
            </w:pPr>
            <w:r w:rsidRPr="00C832DF">
              <w:rPr>
                <w:sz w:val="18"/>
                <w:szCs w:val="18"/>
              </w:rPr>
              <w:t xml:space="preserve">The </w:t>
            </w:r>
            <w:hyperlink r:id="rId45" w:history="1">
              <w:r w:rsidRPr="00C832DF">
                <w:rPr>
                  <w:rStyle w:val="Hyperlink"/>
                  <w:sz w:val="18"/>
                  <w:szCs w:val="18"/>
                </w:rPr>
                <w:t>UK Stewardship Code 2020</w:t>
              </w:r>
            </w:hyperlink>
            <w:r w:rsidRPr="00C832DF">
              <w:rPr>
                <w:sz w:val="18"/>
                <w:szCs w:val="18"/>
              </w:rPr>
              <w:t xml:space="preserve"> established a high, albeit voluntary, standard of stewardship practices among financial actors in the UK. The </w:t>
            </w:r>
            <w:r w:rsidR="00530EB1" w:rsidRPr="00C832DF">
              <w:rPr>
                <w:sz w:val="18"/>
                <w:szCs w:val="18"/>
              </w:rPr>
              <w:t>C</w:t>
            </w:r>
            <w:r w:rsidRPr="00C832DF">
              <w:rPr>
                <w:sz w:val="18"/>
                <w:szCs w:val="18"/>
              </w:rPr>
              <w:t>ode is supportive of collaborative engagement</w:t>
            </w:r>
            <w:r w:rsidR="00530EB1" w:rsidRPr="00C832DF">
              <w:rPr>
                <w:sz w:val="18"/>
                <w:szCs w:val="18"/>
              </w:rPr>
              <w:t xml:space="preserve"> and</w:t>
            </w:r>
            <w:r w:rsidRPr="00C832DF">
              <w:rPr>
                <w:sz w:val="18"/>
                <w:szCs w:val="18"/>
              </w:rPr>
              <w:t xml:space="preserve"> Principle 10 requests that </w:t>
            </w:r>
            <w:r w:rsidR="006461AE" w:rsidRPr="00C832DF">
              <w:rPr>
                <w:sz w:val="18"/>
                <w:szCs w:val="18"/>
              </w:rPr>
              <w:t>‘</w:t>
            </w:r>
            <w:r w:rsidRPr="00C832DF">
              <w:rPr>
                <w:sz w:val="18"/>
                <w:szCs w:val="18"/>
              </w:rPr>
              <w:t>Signatories, where necessary, participate in collaborative engagement to influence issuers</w:t>
            </w:r>
            <w:r w:rsidR="006461AE" w:rsidRPr="00C832DF">
              <w:rPr>
                <w:sz w:val="18"/>
                <w:szCs w:val="18"/>
              </w:rPr>
              <w:t>’</w:t>
            </w:r>
            <w:r w:rsidRPr="00C832DF">
              <w:rPr>
                <w:sz w:val="18"/>
                <w:szCs w:val="18"/>
              </w:rPr>
              <w:t>.</w:t>
            </w:r>
          </w:p>
        </w:tc>
      </w:tr>
      <w:tr w:rsidR="00567554" w:rsidRPr="00F8177B" w14:paraId="6942ABE4" w14:textId="77777777" w:rsidTr="17FE7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8D1D939" w14:textId="2A8458DA" w:rsidR="00567554" w:rsidRPr="00F8177B" w:rsidRDefault="415AA6EE" w:rsidP="006161EC">
            <w:pPr>
              <w:spacing w:line="264" w:lineRule="auto"/>
              <w:rPr>
                <w:sz w:val="18"/>
                <w:szCs w:val="18"/>
              </w:rPr>
            </w:pPr>
            <w:r w:rsidRPr="00F8177B">
              <w:rPr>
                <w:sz w:val="18"/>
                <w:szCs w:val="18"/>
              </w:rPr>
              <w:t>US</w:t>
            </w:r>
          </w:p>
        </w:tc>
        <w:tc>
          <w:tcPr>
            <w:tcW w:w="8222" w:type="dxa"/>
          </w:tcPr>
          <w:p w14:paraId="0986FBF2" w14:textId="379277A6" w:rsidR="00567554" w:rsidRPr="00F8177B" w:rsidRDefault="461DF50A" w:rsidP="006161EC">
            <w:p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 xml:space="preserve">As a general principle, </w:t>
            </w:r>
            <w:r w:rsidR="4370E62E" w:rsidRPr="00F8177B">
              <w:rPr>
                <w:sz w:val="18"/>
                <w:szCs w:val="18"/>
              </w:rPr>
              <w:t xml:space="preserve">from a securities law perspective, </w:t>
            </w:r>
            <w:r w:rsidR="005138AC" w:rsidRPr="00F8177B">
              <w:rPr>
                <w:sz w:val="18"/>
                <w:szCs w:val="18"/>
              </w:rPr>
              <w:t>the current US federal legal framework does not</w:t>
            </w:r>
            <w:r w:rsidRPr="00F8177B">
              <w:rPr>
                <w:sz w:val="18"/>
                <w:szCs w:val="18"/>
              </w:rPr>
              <w:t xml:space="preserve"> prevent shareholders from conducting engagement activities in a collaborative manner</w:t>
            </w:r>
            <w:r w:rsidR="1D668F4E" w:rsidRPr="00F8177B">
              <w:rPr>
                <w:sz w:val="18"/>
                <w:szCs w:val="18"/>
              </w:rPr>
              <w:t xml:space="preserve">. </w:t>
            </w:r>
            <w:r w:rsidR="2AAE2445" w:rsidRPr="00F8177B">
              <w:rPr>
                <w:sz w:val="18"/>
                <w:szCs w:val="18"/>
              </w:rPr>
              <w:t xml:space="preserve">However, shareholders must understand when and how coordinated efforts carry legal, regulatory or contractual implications. </w:t>
            </w:r>
          </w:p>
          <w:p w14:paraId="3744DB4C" w14:textId="7FEEFC4C" w:rsidR="00567554" w:rsidRPr="00F8177B" w:rsidRDefault="022C1C45" w:rsidP="006161EC">
            <w:p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 xml:space="preserve">The </w:t>
            </w:r>
            <w:r w:rsidR="008A7240" w:rsidRPr="00F8177B">
              <w:rPr>
                <w:sz w:val="18"/>
                <w:szCs w:val="18"/>
              </w:rPr>
              <w:t>U.S. Securities and Exchange Commission (</w:t>
            </w:r>
            <w:r w:rsidR="006461AE" w:rsidRPr="00F8177B">
              <w:rPr>
                <w:sz w:val="18"/>
                <w:szCs w:val="18"/>
              </w:rPr>
              <w:t>‘</w:t>
            </w:r>
            <w:r w:rsidR="00AA276C" w:rsidRPr="00F8177B">
              <w:rPr>
                <w:sz w:val="18"/>
                <w:szCs w:val="18"/>
              </w:rPr>
              <w:t>SEC</w:t>
            </w:r>
            <w:r w:rsidR="006461AE" w:rsidRPr="00F8177B">
              <w:rPr>
                <w:sz w:val="18"/>
                <w:szCs w:val="18"/>
              </w:rPr>
              <w:t>’</w:t>
            </w:r>
            <w:r w:rsidR="00AA276C" w:rsidRPr="00F8177B">
              <w:rPr>
                <w:sz w:val="18"/>
                <w:szCs w:val="18"/>
              </w:rPr>
              <w:t xml:space="preserve"> or </w:t>
            </w:r>
            <w:r w:rsidR="006461AE" w:rsidRPr="00F8177B">
              <w:rPr>
                <w:sz w:val="18"/>
                <w:szCs w:val="18"/>
              </w:rPr>
              <w:t>‘</w:t>
            </w:r>
            <w:r w:rsidR="00AA276C" w:rsidRPr="00F8177B">
              <w:rPr>
                <w:sz w:val="18"/>
                <w:szCs w:val="18"/>
              </w:rPr>
              <w:t>the Commission</w:t>
            </w:r>
            <w:r w:rsidR="006461AE" w:rsidRPr="00F8177B">
              <w:rPr>
                <w:sz w:val="18"/>
                <w:szCs w:val="18"/>
              </w:rPr>
              <w:t>’</w:t>
            </w:r>
            <w:r w:rsidR="008A7240" w:rsidRPr="00F8177B">
              <w:rPr>
                <w:sz w:val="18"/>
                <w:szCs w:val="18"/>
              </w:rPr>
              <w:t xml:space="preserve">) has recently provided </w:t>
            </w:r>
            <w:r w:rsidR="00E65665" w:rsidRPr="00F8177B">
              <w:rPr>
                <w:sz w:val="18"/>
                <w:szCs w:val="18"/>
              </w:rPr>
              <w:t xml:space="preserve">guidance to </w:t>
            </w:r>
            <w:r w:rsidR="00C91E0F" w:rsidRPr="00F8177B">
              <w:rPr>
                <w:sz w:val="18"/>
                <w:szCs w:val="18"/>
              </w:rPr>
              <w:t xml:space="preserve">entities </w:t>
            </w:r>
            <w:r w:rsidR="00E65665" w:rsidRPr="00F8177B">
              <w:rPr>
                <w:sz w:val="18"/>
                <w:szCs w:val="18"/>
              </w:rPr>
              <w:t xml:space="preserve">seeking to act in collaboration. This guidance is included as part of a </w:t>
            </w:r>
            <w:hyperlink r:id="rId46" w:history="1">
              <w:r w:rsidR="00E65665" w:rsidRPr="00F8177B">
                <w:rPr>
                  <w:rStyle w:val="Hyperlink"/>
                  <w:sz w:val="18"/>
                  <w:szCs w:val="18"/>
                </w:rPr>
                <w:t>final rulemaking</w:t>
              </w:r>
            </w:hyperlink>
            <w:r w:rsidR="00E65665" w:rsidRPr="00F8177B">
              <w:rPr>
                <w:sz w:val="18"/>
                <w:szCs w:val="18"/>
              </w:rPr>
              <w:t xml:space="preserve"> on beneficial ownership</w:t>
            </w:r>
            <w:r w:rsidR="00E07F9D" w:rsidRPr="00F8177B">
              <w:rPr>
                <w:sz w:val="18"/>
                <w:szCs w:val="18"/>
              </w:rPr>
              <w:t xml:space="preserve">. The original proposal included changes </w:t>
            </w:r>
            <w:r w:rsidR="00D32018" w:rsidRPr="00F8177B">
              <w:rPr>
                <w:sz w:val="18"/>
                <w:szCs w:val="18"/>
              </w:rPr>
              <w:t xml:space="preserve">to rules on collaboration, but the SEC did not adopt </w:t>
            </w:r>
            <w:r w:rsidR="00C91E0F" w:rsidRPr="00F8177B">
              <w:rPr>
                <w:sz w:val="18"/>
                <w:szCs w:val="18"/>
              </w:rPr>
              <w:t xml:space="preserve">them </w:t>
            </w:r>
            <w:r w:rsidR="00D32018" w:rsidRPr="00F8177B">
              <w:rPr>
                <w:sz w:val="18"/>
                <w:szCs w:val="18"/>
              </w:rPr>
              <w:t>in the final rulemaking</w:t>
            </w:r>
            <w:r w:rsidR="607D5AF7" w:rsidRPr="00F8177B">
              <w:rPr>
                <w:sz w:val="18"/>
                <w:szCs w:val="18"/>
              </w:rPr>
              <w:t xml:space="preserve">. </w:t>
            </w:r>
          </w:p>
          <w:p w14:paraId="45870E76" w14:textId="081AE80E" w:rsidR="00E81777" w:rsidRPr="00F8177B" w:rsidRDefault="00F37323" w:rsidP="006161EC">
            <w:pPr>
              <w:spacing w:line="264" w:lineRule="auto"/>
              <w:cnfStyle w:val="000000100000" w:firstRow="0" w:lastRow="0" w:firstColumn="0" w:lastColumn="0" w:oddVBand="0" w:evenVBand="0" w:oddHBand="1" w:evenHBand="0" w:firstRowFirstColumn="0" w:firstRowLastColumn="0" w:lastRowFirstColumn="0" w:lastRowLastColumn="0"/>
              <w:rPr>
                <w:sz w:val="18"/>
                <w:szCs w:val="18"/>
              </w:rPr>
            </w:pPr>
            <w:r w:rsidRPr="00F8177B">
              <w:rPr>
                <w:sz w:val="18"/>
                <w:szCs w:val="18"/>
              </w:rPr>
              <w:t>Under the guidance in the</w:t>
            </w:r>
            <w:r w:rsidR="00AA276C" w:rsidRPr="00F8177B">
              <w:rPr>
                <w:sz w:val="18"/>
                <w:szCs w:val="18"/>
              </w:rPr>
              <w:t xml:space="preserve"> </w:t>
            </w:r>
            <w:r w:rsidR="006461AE" w:rsidRPr="00F8177B">
              <w:rPr>
                <w:sz w:val="18"/>
                <w:szCs w:val="18"/>
              </w:rPr>
              <w:t>‘</w:t>
            </w:r>
            <w:r w:rsidR="00AA276C" w:rsidRPr="00F8177B">
              <w:rPr>
                <w:sz w:val="18"/>
                <w:szCs w:val="18"/>
              </w:rPr>
              <w:t>Modernization of Beneficial Ownership Reporting</w:t>
            </w:r>
            <w:r w:rsidR="006461AE" w:rsidRPr="00F8177B">
              <w:rPr>
                <w:sz w:val="18"/>
                <w:szCs w:val="18"/>
              </w:rPr>
              <w:t>’</w:t>
            </w:r>
            <w:r w:rsidR="00AA276C" w:rsidRPr="00F8177B">
              <w:rPr>
                <w:sz w:val="18"/>
                <w:szCs w:val="18"/>
              </w:rPr>
              <w:t xml:space="preserve"> (October 2023)</w:t>
            </w:r>
            <w:r w:rsidRPr="00F8177B">
              <w:rPr>
                <w:sz w:val="18"/>
                <w:szCs w:val="18"/>
              </w:rPr>
              <w:t xml:space="preserve"> final rule</w:t>
            </w:r>
            <w:r w:rsidR="00AA276C" w:rsidRPr="00F8177B">
              <w:rPr>
                <w:sz w:val="18"/>
                <w:szCs w:val="18"/>
              </w:rPr>
              <w:t xml:space="preserve">, </w:t>
            </w:r>
            <w:r w:rsidRPr="00F8177B">
              <w:rPr>
                <w:sz w:val="18"/>
                <w:szCs w:val="18"/>
              </w:rPr>
              <w:t xml:space="preserve">the Commission provides </w:t>
            </w:r>
            <w:r w:rsidR="00BD7D93" w:rsidRPr="00F8177B">
              <w:rPr>
                <w:sz w:val="18"/>
                <w:szCs w:val="18"/>
              </w:rPr>
              <w:t xml:space="preserve">scenarios in the form of questions and answers on when a group can be considered </w:t>
            </w:r>
            <w:r w:rsidR="006461AE" w:rsidRPr="00F8177B">
              <w:rPr>
                <w:sz w:val="18"/>
                <w:szCs w:val="18"/>
              </w:rPr>
              <w:t>‘</w:t>
            </w:r>
            <w:r w:rsidR="00BD7D93" w:rsidRPr="00F8177B">
              <w:rPr>
                <w:sz w:val="18"/>
                <w:szCs w:val="18"/>
              </w:rPr>
              <w:t>formed</w:t>
            </w:r>
            <w:r w:rsidR="006461AE" w:rsidRPr="00F8177B">
              <w:rPr>
                <w:sz w:val="18"/>
                <w:szCs w:val="18"/>
              </w:rPr>
              <w:t>’</w:t>
            </w:r>
            <w:r w:rsidR="00BD7D93" w:rsidRPr="00F8177B">
              <w:rPr>
                <w:sz w:val="18"/>
                <w:szCs w:val="18"/>
              </w:rPr>
              <w:t xml:space="preserve"> or not. </w:t>
            </w:r>
            <w:r w:rsidR="00E81777" w:rsidRPr="00F8177B">
              <w:rPr>
                <w:sz w:val="18"/>
                <w:szCs w:val="18"/>
              </w:rPr>
              <w:t xml:space="preserve">Under US competition law, investor collaboration may be scrutinized if a group is formed, and therefore beneficial ownership is aggregated. This results in increased regulatory compliance, namely increased reporting obligations, but also subjects the group to possible investigations. </w:t>
            </w:r>
          </w:p>
        </w:tc>
      </w:tr>
    </w:tbl>
    <w:p w14:paraId="49610DA7" w14:textId="631752DB" w:rsidR="005804BC" w:rsidRPr="00F8177B" w:rsidRDefault="005804BC" w:rsidP="006902C2">
      <w:pPr>
        <w:pStyle w:val="pf0"/>
      </w:pPr>
    </w:p>
    <w:sectPr w:rsidR="005804BC" w:rsidRPr="00F8177B" w:rsidSect="00411083">
      <w:headerReference w:type="even" r:id="rId47"/>
      <w:headerReference w:type="default" r:id="rId48"/>
      <w:footerReference w:type="default" r:id="rId49"/>
      <w:headerReference w:type="first" r:id="rId50"/>
      <w:footerReference w:type="first" r:id="rId51"/>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EB1AE" w14:textId="77777777" w:rsidR="0038770E" w:rsidRDefault="0038770E" w:rsidP="000F2F1A">
      <w:r>
        <w:separator/>
      </w:r>
    </w:p>
  </w:endnote>
  <w:endnote w:type="continuationSeparator" w:id="0">
    <w:p w14:paraId="4EE9E607" w14:textId="77777777" w:rsidR="0038770E" w:rsidRDefault="0038770E" w:rsidP="000F2F1A">
      <w:r>
        <w:continuationSeparator/>
      </w:r>
    </w:p>
  </w:endnote>
  <w:endnote w:type="continuationNotice" w:id="1">
    <w:p w14:paraId="3CABB1B0" w14:textId="77777777" w:rsidR="0038770E" w:rsidRDefault="0038770E" w:rsidP="000F2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FontAwesome">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NexusSansWebPro">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lright Sans Light">
    <w:altName w:val="Calibri"/>
    <w:panose1 w:val="00000000000000000000"/>
    <w:charset w:val="00"/>
    <w:family w:val="auto"/>
    <w:notTrueType/>
    <w:pitch w:val="variable"/>
    <w:sig w:usb0="0000000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C2C8" w14:textId="3561A763" w:rsidR="00435450" w:rsidRDefault="00435450" w:rsidP="000F2F1A">
    <w:pPr>
      <w:pStyle w:val="Footer"/>
    </w:pPr>
    <w:r w:rsidRPr="0098553C">
      <w:rPr>
        <w:rStyle w:val="PageNumber"/>
        <w:rFonts w:ascii="Alright Sans Light" w:hAnsi="Alright Sans Light"/>
        <w:color w:val="808080"/>
      </w:rPr>
      <w:fldChar w:fldCharType="begin"/>
    </w:r>
    <w:r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Pr>
        <w:rStyle w:val="PageNumber"/>
        <w:rFonts w:ascii="Alright Sans Light" w:hAnsi="Alright Sans Light"/>
        <w:color w:val="808080"/>
      </w:rPr>
      <w:t>2</w:t>
    </w:r>
    <w:r w:rsidRPr="0098553C">
      <w:rPr>
        <w:rStyle w:val="PageNumber"/>
        <w:rFonts w:ascii="Alright Sans Light" w:hAnsi="Alright Sans Light"/>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2792" w14:textId="09245190" w:rsidR="00435450" w:rsidRDefault="00435450" w:rsidP="000F2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BA99" w14:textId="77777777" w:rsidR="0038770E" w:rsidRDefault="0038770E" w:rsidP="000F2F1A">
      <w:r>
        <w:separator/>
      </w:r>
    </w:p>
  </w:footnote>
  <w:footnote w:type="continuationSeparator" w:id="0">
    <w:p w14:paraId="39AA7C30" w14:textId="77777777" w:rsidR="0038770E" w:rsidRDefault="0038770E" w:rsidP="000F2F1A">
      <w:r>
        <w:continuationSeparator/>
      </w:r>
    </w:p>
  </w:footnote>
  <w:footnote w:type="continuationNotice" w:id="1">
    <w:p w14:paraId="122C9EB2" w14:textId="77777777" w:rsidR="0038770E" w:rsidRDefault="0038770E" w:rsidP="000F2F1A"/>
  </w:footnote>
  <w:footnote w:id="2">
    <w:p w14:paraId="7E03FC9B" w14:textId="19C7FB66" w:rsidR="001F53F4" w:rsidRDefault="001F53F4">
      <w:pPr>
        <w:pStyle w:val="FootnoteText"/>
      </w:pPr>
      <w:r>
        <w:rPr>
          <w:rStyle w:val="FootnoteReference"/>
        </w:rPr>
        <w:footnoteRef/>
      </w:r>
      <w:r>
        <w:t xml:space="preserve"> </w:t>
      </w:r>
      <w:r w:rsidR="0042663D" w:rsidRPr="0042663D">
        <w:t xml:space="preserve">Freshfields Bruckhaus Deringer, PRI, United Nations Environment Programme Finance Initiative, Generation Foundation (2021), </w:t>
      </w:r>
      <w:hyperlink r:id="rId1" w:history="1">
        <w:r w:rsidR="0042663D" w:rsidRPr="0042663D">
          <w:rPr>
            <w:rStyle w:val="Hyperlink"/>
          </w:rPr>
          <w:t>A Legal Framework for Impact: Sustainability impact in investor decision-making</w:t>
        </w:r>
      </w:hyperlink>
      <w:r w:rsidR="006F5EC7">
        <w:t xml:space="preserve">, at 84. </w:t>
      </w:r>
    </w:p>
  </w:footnote>
  <w:footnote w:id="3">
    <w:p w14:paraId="7DC23E12" w14:textId="77777777" w:rsidR="005B7F85" w:rsidRPr="00E63C99" w:rsidRDefault="005B7F85" w:rsidP="0021582B">
      <w:pPr>
        <w:pStyle w:val="FootnoteText"/>
        <w:contextualSpacing/>
        <w:rPr>
          <w:szCs w:val="16"/>
        </w:rPr>
      </w:pPr>
      <w:r w:rsidRPr="00E63C99">
        <w:rPr>
          <w:rStyle w:val="FootnoteReference"/>
          <w:szCs w:val="16"/>
        </w:rPr>
        <w:footnoteRef/>
      </w:r>
      <w:r w:rsidRPr="00E63C99">
        <w:rPr>
          <w:szCs w:val="16"/>
        </w:rPr>
        <w:t xml:space="preserve"> Freshfields Bruckhaus Deringer, PRI, United Nations Environment Programme Finance Initiative, Generation Foundation (2021), </w:t>
      </w:r>
      <w:hyperlink r:id="rId2" w:history="1">
        <w:r w:rsidRPr="00E63C99">
          <w:rPr>
            <w:rStyle w:val="Hyperlink"/>
            <w:szCs w:val="16"/>
          </w:rPr>
          <w:t>A Legal Framework for Impact: Sustainability impact in investor decision-making</w:t>
        </w:r>
      </w:hyperlink>
      <w:r w:rsidRPr="00E63C99">
        <w:rPr>
          <w:szCs w:val="16"/>
        </w:rPr>
        <w:t xml:space="preserve"> (p.154-p.192)</w:t>
      </w:r>
    </w:p>
  </w:footnote>
  <w:footnote w:id="4">
    <w:p w14:paraId="1FD443C2" w14:textId="77777777" w:rsidR="005B7F85" w:rsidRPr="00E63C99" w:rsidRDefault="005B7F85" w:rsidP="0021582B">
      <w:pPr>
        <w:pStyle w:val="FootnoteText"/>
        <w:contextualSpacing/>
        <w:rPr>
          <w:szCs w:val="16"/>
        </w:rPr>
      </w:pPr>
      <w:r w:rsidRPr="00E63C99">
        <w:rPr>
          <w:rStyle w:val="FootnoteReference"/>
          <w:szCs w:val="16"/>
        </w:rPr>
        <w:footnoteRef/>
      </w:r>
      <w:r w:rsidRPr="00E63C99">
        <w:rPr>
          <w:szCs w:val="16"/>
        </w:rPr>
        <w:t xml:space="preserve"> Hawley, J., Lukomnik, J. (2019), </w:t>
      </w:r>
      <w:hyperlink r:id="rId3" w:history="1">
        <w:r w:rsidRPr="00E63C99">
          <w:rPr>
            <w:rStyle w:val="Hyperlink"/>
            <w:szCs w:val="16"/>
          </w:rPr>
          <w:t>Modernising modern portfolio theory</w:t>
        </w:r>
      </w:hyperlink>
    </w:p>
  </w:footnote>
  <w:footnote w:id="5">
    <w:p w14:paraId="12427441" w14:textId="5D67F94A" w:rsidR="00686229" w:rsidRPr="00E63C99" w:rsidRDefault="00686229" w:rsidP="0021582B">
      <w:pPr>
        <w:pStyle w:val="FootnoteText"/>
        <w:contextualSpacing/>
        <w:rPr>
          <w:szCs w:val="16"/>
        </w:rPr>
      </w:pPr>
      <w:r w:rsidRPr="00E63C99">
        <w:rPr>
          <w:rStyle w:val="FootnoteReference"/>
          <w:rFonts w:cs="Arial"/>
          <w:szCs w:val="16"/>
        </w:rPr>
        <w:footnoteRef/>
      </w:r>
      <w:r w:rsidRPr="00E63C99">
        <w:rPr>
          <w:szCs w:val="16"/>
        </w:rPr>
        <w:t xml:space="preserve"> PRI</w:t>
      </w:r>
      <w:r w:rsidR="002F514C">
        <w:rPr>
          <w:szCs w:val="16"/>
        </w:rPr>
        <w:t xml:space="preserve">, CFA Institute and the Global Sustainable Investment Alliance, </w:t>
      </w:r>
      <w:hyperlink r:id="rId4" w:history="1">
        <w:r w:rsidR="002F514C" w:rsidRPr="00436100">
          <w:rPr>
            <w:rStyle w:val="Hyperlink"/>
            <w:szCs w:val="16"/>
          </w:rPr>
          <w:t>Definitions for Responsible Investment Approaches</w:t>
        </w:r>
      </w:hyperlink>
      <w:r w:rsidR="002F514C">
        <w:rPr>
          <w:szCs w:val="16"/>
        </w:rPr>
        <w:t>.</w:t>
      </w:r>
      <w:r w:rsidRPr="00E63C99">
        <w:rPr>
          <w:szCs w:val="16"/>
        </w:rPr>
        <w:t xml:space="preserve"> </w:t>
      </w:r>
    </w:p>
  </w:footnote>
  <w:footnote w:id="6">
    <w:p w14:paraId="1A72A31A" w14:textId="30E85C23" w:rsidR="00686229" w:rsidRPr="00E63C99" w:rsidRDefault="00686229" w:rsidP="0021582B">
      <w:pPr>
        <w:pStyle w:val="FootnoteText"/>
        <w:contextualSpacing/>
        <w:rPr>
          <w:szCs w:val="16"/>
        </w:rPr>
      </w:pPr>
      <w:r w:rsidRPr="00E63C99">
        <w:rPr>
          <w:rStyle w:val="FootnoteReference"/>
          <w:rFonts w:cs="Arial"/>
          <w:szCs w:val="16"/>
        </w:rPr>
        <w:footnoteRef/>
      </w:r>
      <w:r w:rsidRPr="00E63C99">
        <w:rPr>
          <w:szCs w:val="16"/>
        </w:rPr>
        <w:t xml:space="preserve"> The definition and scope of stewardship is evolving. For example, the UK Stewardship Code states that: </w:t>
      </w:r>
      <w:r w:rsidR="006461AE">
        <w:rPr>
          <w:szCs w:val="16"/>
        </w:rPr>
        <w:t>‘</w:t>
      </w:r>
      <w:r w:rsidRPr="00E63C99">
        <w:rPr>
          <w:szCs w:val="16"/>
        </w:rPr>
        <w:t>Stewardship is the responsible allocation, management and oversight of capital to create long-term value for clients and beneficiaries leading to sustainable benefits for the economy, the environment and society.</w:t>
      </w:r>
      <w:r w:rsidR="006461AE">
        <w:rPr>
          <w:szCs w:val="16"/>
        </w:rPr>
        <w:t>’</w:t>
      </w:r>
      <w:r w:rsidRPr="00E63C99">
        <w:rPr>
          <w:szCs w:val="16"/>
        </w:rPr>
        <w:t xml:space="preserve"> (Financial Reporting Council (UK) (2022), </w:t>
      </w:r>
      <w:hyperlink r:id="rId5" w:history="1">
        <w:r w:rsidRPr="00E63C99">
          <w:rPr>
            <w:rStyle w:val="Hyperlink"/>
            <w:rFonts w:cs="Arial"/>
            <w:szCs w:val="16"/>
          </w:rPr>
          <w:t>UK Stewardship Code 2020 Application and Assessment</w:t>
        </w:r>
      </w:hyperlink>
      <w:r w:rsidRPr="00E63C99">
        <w:rPr>
          <w:szCs w:val="16"/>
        </w:rPr>
        <w:t>, p. 4). This wider definition suggests that the scope of stewardship could include activities such as asset allocation, the integration of ESG considerations into investment decision-making and understanding beneficiary and client needs and interests. In Box 26, we offer some reflections on trends in stewardship codes and on how these might evolve over time.</w:t>
      </w:r>
    </w:p>
  </w:footnote>
  <w:footnote w:id="7">
    <w:p w14:paraId="3AE7ECD8" w14:textId="77777777" w:rsidR="00686229" w:rsidRPr="00E63C99" w:rsidRDefault="00686229" w:rsidP="0021582B">
      <w:pPr>
        <w:pStyle w:val="FootnoteText"/>
        <w:contextualSpacing/>
        <w:rPr>
          <w:rFonts w:cs="Arial"/>
          <w:szCs w:val="16"/>
        </w:rPr>
      </w:pPr>
      <w:r w:rsidRPr="00E63C99">
        <w:rPr>
          <w:rStyle w:val="FootnoteReference"/>
          <w:rFonts w:cs="Arial"/>
          <w:szCs w:val="16"/>
        </w:rPr>
        <w:footnoteRef/>
      </w:r>
      <w:r w:rsidRPr="00E63C99">
        <w:rPr>
          <w:rFonts w:cs="Arial"/>
          <w:szCs w:val="16"/>
        </w:rPr>
        <w:t xml:space="preserve"> PRI (2019), </w:t>
      </w:r>
      <w:hyperlink r:id="rId6" w:history="1">
        <w:r w:rsidRPr="00E63C99">
          <w:rPr>
            <w:rStyle w:val="Hyperlink"/>
            <w:rFonts w:cs="Arial"/>
            <w:i/>
            <w:iCs/>
            <w:szCs w:val="16"/>
          </w:rPr>
          <w:t>Active Ownership 2.0</w:t>
        </w:r>
      </w:hyperlink>
      <w:r w:rsidRPr="00E63C99">
        <w:rPr>
          <w:rFonts w:cs="Arial"/>
          <w:i/>
          <w:iCs/>
          <w:szCs w:val="16"/>
        </w:rPr>
        <w:t xml:space="preserve">; </w:t>
      </w:r>
      <w:r w:rsidRPr="00E63C99">
        <w:rPr>
          <w:rFonts w:cs="Arial"/>
          <w:szCs w:val="16"/>
          <w:lang w:val="en-AU"/>
        </w:rPr>
        <w:t xml:space="preserve">PRI (2021), </w:t>
      </w:r>
      <w:hyperlink r:id="rId7" w:history="1">
        <w:r w:rsidRPr="00E63C99">
          <w:rPr>
            <w:rStyle w:val="Hyperlink"/>
            <w:rFonts w:cs="Arial"/>
            <w:i/>
            <w:iCs/>
            <w:szCs w:val="16"/>
            <w:lang w:val="en-AU"/>
          </w:rPr>
          <w:t>A Legal Framework for Impact</w:t>
        </w:r>
      </w:hyperlink>
      <w:r w:rsidRPr="00E63C99">
        <w:rPr>
          <w:rFonts w:cs="Arial"/>
          <w:i/>
          <w:iCs/>
          <w:szCs w:val="16"/>
          <w:lang w:val="en-AU"/>
        </w:rPr>
        <w:t>.</w:t>
      </w:r>
      <w:r w:rsidRPr="00E63C99">
        <w:rPr>
          <w:rFonts w:cs="Arial"/>
          <w:szCs w:val="16"/>
          <w:lang w:val="en-AU"/>
        </w:rPr>
        <w:t xml:space="preserve"> </w:t>
      </w:r>
    </w:p>
  </w:footnote>
  <w:footnote w:id="8">
    <w:p w14:paraId="1E2C06AE" w14:textId="015057B7" w:rsidR="007B156A" w:rsidRDefault="007B156A">
      <w:pPr>
        <w:pStyle w:val="FootnoteText"/>
      </w:pPr>
      <w:r>
        <w:rPr>
          <w:rStyle w:val="FootnoteReference"/>
        </w:rPr>
        <w:footnoteRef/>
      </w:r>
      <w:r>
        <w:t xml:space="preserve"> </w:t>
      </w:r>
      <w:r w:rsidR="00A31ED5">
        <w:t>S</w:t>
      </w:r>
      <w:r w:rsidR="00B60FEE">
        <w:t xml:space="preserve">ee </w:t>
      </w:r>
      <w:hyperlink r:id="rId8" w:history="1">
        <w:r w:rsidR="003F262B" w:rsidRPr="00966A82">
          <w:rPr>
            <w:rStyle w:val="Hyperlink"/>
          </w:rPr>
          <w:t xml:space="preserve">PRI-led engagement </w:t>
        </w:r>
        <w:r w:rsidR="00BA36A6" w:rsidRPr="00966A82">
          <w:rPr>
            <w:rStyle w:val="Hyperlink"/>
          </w:rPr>
          <w:t>initiatives</w:t>
        </w:r>
      </w:hyperlink>
      <w:r w:rsidR="008D1162">
        <w:t>.</w:t>
      </w:r>
      <w:r w:rsidR="00A31ED5">
        <w:t xml:space="preserve"> </w:t>
      </w:r>
      <w:r w:rsidR="00BE37A1">
        <w:t xml:space="preserve">Collaborative engagements can </w:t>
      </w:r>
      <w:hyperlink r:id="rId9" w:history="1">
        <w:r w:rsidR="00BE37A1" w:rsidRPr="004538D8">
          <w:rPr>
            <w:rStyle w:val="Hyperlink"/>
          </w:rPr>
          <w:t>catalyse changes</w:t>
        </w:r>
      </w:hyperlink>
      <w:r w:rsidR="00BE37A1">
        <w:t xml:space="preserve"> at the portfolio level. </w:t>
      </w:r>
      <w:r w:rsidR="004538D8">
        <w:t xml:space="preserve">Participants of collaborative engagement </w:t>
      </w:r>
      <w:r w:rsidR="00BE37A1">
        <w:t xml:space="preserve">can also </w:t>
      </w:r>
      <w:hyperlink r:id="rId10" w:history="1">
        <w:r w:rsidR="00783ED7" w:rsidRPr="000708E4">
          <w:rPr>
            <w:rStyle w:val="Hyperlink"/>
          </w:rPr>
          <w:t>engage with policymakers</w:t>
        </w:r>
      </w:hyperlink>
      <w:r w:rsidR="00783ED7">
        <w:t xml:space="preserve"> to </w:t>
      </w:r>
      <w:r w:rsidR="005024D0">
        <w:t xml:space="preserve">support </w:t>
      </w:r>
      <w:r w:rsidR="0008615B">
        <w:t>the government tackling systemic challenges</w:t>
      </w:r>
      <w:r w:rsidR="00783ED7">
        <w:t xml:space="preserve">. </w:t>
      </w:r>
    </w:p>
  </w:footnote>
  <w:footnote w:id="9">
    <w:p w14:paraId="18C3E1CF" w14:textId="77777777" w:rsidR="00CC2784" w:rsidRPr="00E63C99" w:rsidRDefault="00CC2784" w:rsidP="0021582B">
      <w:pPr>
        <w:pStyle w:val="FootnoteText"/>
        <w:contextualSpacing/>
        <w:rPr>
          <w:szCs w:val="16"/>
        </w:rPr>
      </w:pPr>
      <w:r w:rsidRPr="00E63C99">
        <w:rPr>
          <w:rStyle w:val="FootnoteReference"/>
          <w:szCs w:val="16"/>
        </w:rPr>
        <w:footnoteRef/>
      </w:r>
      <w:r w:rsidRPr="00E63C99">
        <w:rPr>
          <w:szCs w:val="16"/>
        </w:rPr>
        <w:t xml:space="preserve"> Thamotheram, R. and Wildsmith, H., 2007. Increasing Long-Term Market Returns: realising the potential of collective pension fund action. Corporate Governance: An International Review, 15(3), pp. 438-454.</w:t>
      </w:r>
    </w:p>
  </w:footnote>
  <w:footnote w:id="10">
    <w:p w14:paraId="748E63F4" w14:textId="5F5BACA4" w:rsidR="001B2247" w:rsidRPr="00E63C99" w:rsidRDefault="001B2247" w:rsidP="0021582B">
      <w:pPr>
        <w:pStyle w:val="FootnoteText"/>
        <w:contextualSpacing/>
        <w:rPr>
          <w:rFonts w:eastAsia="DengXian"/>
          <w:szCs w:val="16"/>
          <w:lang w:eastAsia="zh-CN"/>
        </w:rPr>
      </w:pPr>
      <w:r w:rsidRPr="00E63C99">
        <w:rPr>
          <w:rStyle w:val="FootnoteReference"/>
          <w:szCs w:val="16"/>
        </w:rPr>
        <w:footnoteRef/>
      </w:r>
      <w:r w:rsidRPr="00E63C99">
        <w:rPr>
          <w:szCs w:val="16"/>
        </w:rPr>
        <w:t xml:space="preserve"> World Economic Forum (2022), </w:t>
      </w:r>
      <w:hyperlink r:id="rId11" w:history="1">
        <w:r w:rsidRPr="00E63C99">
          <w:rPr>
            <w:rStyle w:val="Hyperlink"/>
            <w:szCs w:val="16"/>
          </w:rPr>
          <w:t>The Global Risks Report 2022</w:t>
        </w:r>
      </w:hyperlink>
    </w:p>
  </w:footnote>
  <w:footnote w:id="11">
    <w:p w14:paraId="678CC06B" w14:textId="3AAF5D23" w:rsidR="003C34DA" w:rsidRPr="00E63C99" w:rsidRDefault="003C34DA" w:rsidP="0021582B">
      <w:pPr>
        <w:pStyle w:val="FootnoteText"/>
        <w:contextualSpacing/>
        <w:rPr>
          <w:rFonts w:eastAsia="DengXian"/>
          <w:szCs w:val="16"/>
          <w:lang w:eastAsia="zh-CN"/>
        </w:rPr>
      </w:pPr>
      <w:r w:rsidRPr="00E63C99">
        <w:rPr>
          <w:rStyle w:val="FootnoteReference"/>
          <w:szCs w:val="16"/>
        </w:rPr>
        <w:footnoteRef/>
      </w:r>
      <w:r w:rsidRPr="00E63C99">
        <w:rPr>
          <w:szCs w:val="16"/>
        </w:rPr>
        <w:t xml:space="preserve"> International Corporate Governance Network (June 2019), </w:t>
      </w:r>
      <w:hyperlink r:id="rId12" w:history="1">
        <w:r w:rsidRPr="00E63C99">
          <w:rPr>
            <w:rStyle w:val="Hyperlink"/>
            <w:szCs w:val="16"/>
          </w:rPr>
          <w:t>Investor Framework For Addressing Systemic Risks</w:t>
        </w:r>
      </w:hyperlink>
    </w:p>
  </w:footnote>
  <w:footnote w:id="12">
    <w:p w14:paraId="296C8A79" w14:textId="732DFCA6" w:rsidR="00551F62" w:rsidRPr="00E63C99" w:rsidRDefault="00551F62" w:rsidP="0021582B">
      <w:pPr>
        <w:pStyle w:val="FootnoteText"/>
        <w:contextualSpacing/>
        <w:rPr>
          <w:rFonts w:eastAsia="DengXian"/>
          <w:szCs w:val="16"/>
          <w:lang w:eastAsia="zh-CN"/>
        </w:rPr>
      </w:pPr>
      <w:r w:rsidRPr="00E63C99">
        <w:rPr>
          <w:rStyle w:val="FootnoteReference"/>
          <w:szCs w:val="16"/>
        </w:rPr>
        <w:footnoteRef/>
      </w:r>
      <w:r w:rsidRPr="00E63C99">
        <w:rPr>
          <w:szCs w:val="16"/>
        </w:rPr>
        <w:t xml:space="preserve"> Freshfields Bruckhaus Deringer, PRI, United Nations Environment Programme Finance Initiative, Generation Foundation (2021), </w:t>
      </w:r>
      <w:hyperlink r:id="rId13" w:history="1">
        <w:r w:rsidRPr="00E63C99">
          <w:rPr>
            <w:rStyle w:val="Hyperlink"/>
            <w:szCs w:val="16"/>
          </w:rPr>
          <w:t>A Legal Framework for Impact: Sustainability impact in investor decision-making</w:t>
        </w:r>
      </w:hyperlink>
      <w:r w:rsidRPr="00E63C99">
        <w:rPr>
          <w:szCs w:val="16"/>
        </w:rPr>
        <w:t xml:space="preserve"> (p.154-p.192)</w:t>
      </w:r>
    </w:p>
  </w:footnote>
  <w:footnote w:id="13">
    <w:p w14:paraId="42DA3383" w14:textId="0A4D5BAC" w:rsidR="008C1810" w:rsidRPr="00E63C99" w:rsidRDefault="008C1810" w:rsidP="0021582B">
      <w:pPr>
        <w:pStyle w:val="FootnoteText"/>
        <w:contextualSpacing/>
        <w:rPr>
          <w:rFonts w:eastAsia="DengXian"/>
          <w:szCs w:val="16"/>
          <w:lang w:eastAsia="zh-CN"/>
        </w:rPr>
      </w:pPr>
      <w:r w:rsidRPr="00E63C99">
        <w:rPr>
          <w:rStyle w:val="FootnoteReference"/>
          <w:szCs w:val="16"/>
        </w:rPr>
        <w:footnoteRef/>
      </w:r>
      <w:r w:rsidRPr="00E63C99">
        <w:rPr>
          <w:szCs w:val="16"/>
        </w:rPr>
        <w:t xml:space="preserve"> </w:t>
      </w:r>
      <w:r w:rsidR="006558AE" w:rsidRPr="00E63C99">
        <w:rPr>
          <w:szCs w:val="16"/>
        </w:rPr>
        <w:t>Ellen Quigley, Universal Ownership in the Age of COVID-19: Social Norms, Feedback Loops, and the Double Hermeneutic (May 21, 2020)</w:t>
      </w:r>
      <w:r w:rsidR="008E0BEA" w:rsidRPr="00E63C99">
        <w:rPr>
          <w:szCs w:val="16"/>
        </w:rPr>
        <w:t xml:space="preserve">, PRI, Universal Ownership, </w:t>
      </w:r>
      <w:hyperlink r:id="rId14" w:history="1">
        <w:r w:rsidR="008E0BEA" w:rsidRPr="00E63C99">
          <w:rPr>
            <w:rStyle w:val="Hyperlink"/>
            <w:szCs w:val="16"/>
          </w:rPr>
          <w:t xml:space="preserve">Why Environmental Externalities matter to Institutional Investors. </w:t>
        </w:r>
      </w:hyperlink>
      <w:r w:rsidR="006558AE" w:rsidRPr="00E63C99">
        <w:rPr>
          <w:szCs w:val="16"/>
        </w:rPr>
        <w:t xml:space="preserve"> </w:t>
      </w:r>
      <w:r w:rsidR="001A103B">
        <w:rPr>
          <w:szCs w:val="16"/>
        </w:rPr>
        <w:t xml:space="preserve"> </w:t>
      </w:r>
    </w:p>
  </w:footnote>
  <w:footnote w:id="14">
    <w:p w14:paraId="7B82DC2D" w14:textId="7103BDCB" w:rsidR="006C7708" w:rsidRPr="00E63C99" w:rsidRDefault="006C7708" w:rsidP="0021582B">
      <w:pPr>
        <w:pStyle w:val="FootnoteText"/>
        <w:contextualSpacing/>
        <w:rPr>
          <w:szCs w:val="16"/>
          <w:lang w:eastAsia="zh-CN"/>
        </w:rPr>
      </w:pPr>
      <w:r w:rsidRPr="00E63C99">
        <w:rPr>
          <w:rStyle w:val="FootnoteReference"/>
          <w:szCs w:val="16"/>
        </w:rPr>
        <w:footnoteRef/>
      </w:r>
      <w:r w:rsidRPr="00E63C99">
        <w:rPr>
          <w:szCs w:val="16"/>
        </w:rPr>
        <w:t xml:space="preserve"> </w:t>
      </w:r>
      <w:r w:rsidRPr="00E63C99">
        <w:rPr>
          <w:szCs w:val="16"/>
          <w:lang w:eastAsia="zh-CN"/>
        </w:rPr>
        <w:t>Elinor Ostrom,</w:t>
      </w:r>
      <w:r w:rsidR="00321866" w:rsidRPr="00E63C99">
        <w:rPr>
          <w:szCs w:val="16"/>
          <w:lang w:eastAsia="zh-CN"/>
        </w:rPr>
        <w:t xml:space="preserve"> World Bank Policy Research Working Paper 5905,</w:t>
      </w:r>
      <w:r w:rsidRPr="00E63C99">
        <w:rPr>
          <w:szCs w:val="16"/>
          <w:lang w:eastAsia="zh-CN"/>
        </w:rPr>
        <w:t xml:space="preserve"> </w:t>
      </w:r>
      <w:hyperlink r:id="rId15" w:history="1">
        <w:r w:rsidRPr="00E63C99">
          <w:rPr>
            <w:rStyle w:val="Hyperlink"/>
            <w:rFonts w:eastAsia="DengXian"/>
            <w:szCs w:val="16"/>
            <w:lang w:eastAsia="zh-CN"/>
          </w:rPr>
          <w:t>A Polycentric Approach for Coping with Climate Change</w:t>
        </w:r>
      </w:hyperlink>
      <w:r w:rsidRPr="00E63C99">
        <w:rPr>
          <w:szCs w:val="16"/>
          <w:lang w:eastAsia="zh-CN"/>
        </w:rPr>
        <w:t xml:space="preserve">. </w:t>
      </w:r>
    </w:p>
  </w:footnote>
  <w:footnote w:id="15">
    <w:p w14:paraId="3D71E91E" w14:textId="7079022F" w:rsidR="00532973" w:rsidRPr="00E63C99" w:rsidRDefault="00532973" w:rsidP="0021582B">
      <w:pPr>
        <w:pStyle w:val="FootnoteText"/>
        <w:contextualSpacing/>
        <w:rPr>
          <w:rFonts w:eastAsia="DengXian"/>
          <w:szCs w:val="16"/>
          <w:lang w:eastAsia="zh-CN"/>
        </w:rPr>
      </w:pPr>
      <w:r w:rsidRPr="00E63C99">
        <w:rPr>
          <w:rStyle w:val="FootnoteReference"/>
          <w:szCs w:val="16"/>
        </w:rPr>
        <w:footnoteRef/>
      </w:r>
      <w:r w:rsidRPr="00E63C99">
        <w:rPr>
          <w:szCs w:val="16"/>
        </w:rPr>
        <w:t xml:space="preserve"> </w:t>
      </w:r>
      <w:r w:rsidR="004D27A9" w:rsidRPr="00E63C99">
        <w:rPr>
          <w:szCs w:val="16"/>
        </w:rPr>
        <w:t>Amelia Miazad,</w:t>
      </w:r>
      <w:r w:rsidR="00773C0B" w:rsidRPr="0021582B">
        <w:rPr>
          <w:rFonts w:ascii="NexusSansWebPro" w:eastAsiaTheme="minorEastAsia" w:hAnsi="NexusSansWebPro" w:cs="Arial" w:hint="eastAsia"/>
          <w:i/>
          <w:iCs/>
          <w:color w:val="505050"/>
          <w:szCs w:val="16"/>
          <w:shd w:val="clear" w:color="auto" w:fill="FFFFFF"/>
        </w:rPr>
        <w:t xml:space="preserve"> </w:t>
      </w:r>
      <w:r w:rsidR="00773C0B" w:rsidRPr="00E63C99">
        <w:rPr>
          <w:i/>
          <w:iCs/>
          <w:szCs w:val="16"/>
        </w:rPr>
        <w:t>UC Davis Law Review, Vol 56 (2023),</w:t>
      </w:r>
      <w:r w:rsidR="004D27A9" w:rsidRPr="00E63C99">
        <w:rPr>
          <w:szCs w:val="16"/>
        </w:rPr>
        <w:t xml:space="preserve"> </w:t>
      </w:r>
      <w:hyperlink r:id="rId16" w:history="1">
        <w:r w:rsidR="004D27A9" w:rsidRPr="00E63C99">
          <w:rPr>
            <w:rStyle w:val="Hyperlink"/>
            <w:szCs w:val="16"/>
          </w:rPr>
          <w:t>From Zero-Sum to Net-Zero Antitrust</w:t>
        </w:r>
      </w:hyperlink>
      <w:r w:rsidR="004D27A9" w:rsidRPr="00E63C99">
        <w:rPr>
          <w:szCs w:val="16"/>
        </w:rPr>
        <w:t xml:space="preserve">, </w:t>
      </w:r>
      <w:r w:rsidR="004D27A9" w:rsidRPr="00E63C99">
        <w:rPr>
          <w:rFonts w:eastAsia="DengXian"/>
          <w:szCs w:val="16"/>
          <w:lang w:eastAsia="zh-CN"/>
        </w:rPr>
        <w:t>2071.</w:t>
      </w:r>
    </w:p>
  </w:footnote>
  <w:footnote w:id="16">
    <w:p w14:paraId="2C105708" w14:textId="0C733098" w:rsidR="001C75B0" w:rsidRPr="00E63C99" w:rsidRDefault="001C75B0" w:rsidP="0021582B">
      <w:pPr>
        <w:pStyle w:val="FootnoteText"/>
        <w:contextualSpacing/>
        <w:rPr>
          <w:rFonts w:eastAsia="DengXian"/>
          <w:szCs w:val="16"/>
          <w:lang w:eastAsia="zh-CN"/>
        </w:rPr>
      </w:pPr>
      <w:r w:rsidRPr="00E63C99">
        <w:rPr>
          <w:rStyle w:val="FootnoteReference"/>
          <w:szCs w:val="16"/>
        </w:rPr>
        <w:footnoteRef/>
      </w:r>
      <w:r w:rsidRPr="00E63C99">
        <w:rPr>
          <w:szCs w:val="16"/>
        </w:rPr>
        <w:t xml:space="preserve"> </w:t>
      </w:r>
      <w:r w:rsidRPr="00E63C99">
        <w:rPr>
          <w:rFonts w:eastAsia="DengXian"/>
          <w:szCs w:val="16"/>
          <w:lang w:eastAsia="zh-CN"/>
        </w:rPr>
        <w:t xml:space="preserve">PRI, </w:t>
      </w:r>
      <w:hyperlink r:id="rId17" w:history="1">
        <w:r w:rsidRPr="00E63C99">
          <w:rPr>
            <w:rStyle w:val="Hyperlink"/>
            <w:rFonts w:eastAsia="DengXian"/>
            <w:szCs w:val="16"/>
            <w:lang w:eastAsia="zh-CN"/>
          </w:rPr>
          <w:t xml:space="preserve">Getting Started with Collaborative Engagement. </w:t>
        </w:r>
      </w:hyperlink>
      <w:r w:rsidRPr="00E63C99">
        <w:rPr>
          <w:rFonts w:eastAsia="DengXian"/>
          <w:szCs w:val="16"/>
          <w:lang w:eastAsia="zh-CN"/>
        </w:rPr>
        <w:t xml:space="preserve"> </w:t>
      </w:r>
      <w:r w:rsidR="001A103B">
        <w:rPr>
          <w:rFonts w:eastAsia="DengXian"/>
          <w:szCs w:val="16"/>
          <w:lang w:eastAsia="zh-CN"/>
        </w:rPr>
        <w:t xml:space="preserve"> </w:t>
      </w:r>
    </w:p>
  </w:footnote>
  <w:footnote w:id="17">
    <w:p w14:paraId="549CF70E" w14:textId="15177BA9" w:rsidR="00024955" w:rsidRPr="00E63C99" w:rsidRDefault="00024955" w:rsidP="0021582B">
      <w:pPr>
        <w:pStyle w:val="FootnoteText"/>
        <w:contextualSpacing/>
        <w:rPr>
          <w:rFonts w:eastAsia="DengXian"/>
          <w:szCs w:val="16"/>
          <w:lang w:eastAsia="zh-CN"/>
        </w:rPr>
      </w:pPr>
      <w:r w:rsidRPr="00E63C99">
        <w:rPr>
          <w:rStyle w:val="FootnoteReference"/>
          <w:szCs w:val="16"/>
        </w:rPr>
        <w:footnoteRef/>
      </w:r>
      <w:r w:rsidRPr="00E63C99">
        <w:rPr>
          <w:szCs w:val="16"/>
        </w:rPr>
        <w:t xml:space="preserve"> </w:t>
      </w:r>
      <w:r w:rsidR="00AD1FEC" w:rsidRPr="00E63C99">
        <w:rPr>
          <w:szCs w:val="16"/>
        </w:rPr>
        <w:t xml:space="preserve">Gond, J.P. and Piani, V., 2013. </w:t>
      </w:r>
      <w:hyperlink r:id="rId18" w:anchor=":~:text=This%20article%20analyzes%20the%20process,with%20corporations%20on%20environmental%2C%20social%2C" w:history="1">
        <w:r w:rsidR="00AD1FEC" w:rsidRPr="00E63C99">
          <w:rPr>
            <w:rStyle w:val="Hyperlink"/>
            <w:szCs w:val="16"/>
          </w:rPr>
          <w:t>Enabling Institutional Investors’ Collective Action: The Role of the Principles for Responsible investment</w:t>
        </w:r>
      </w:hyperlink>
      <w:r w:rsidR="00AD1FEC" w:rsidRPr="00E63C99">
        <w:rPr>
          <w:szCs w:val="16"/>
        </w:rPr>
        <w:t>. Business &amp; Society, 52(1), pp. 64-104.</w:t>
      </w:r>
    </w:p>
  </w:footnote>
  <w:footnote w:id="18">
    <w:p w14:paraId="57C31D71" w14:textId="77777777" w:rsidR="00634E50" w:rsidRPr="00E63C99" w:rsidRDefault="00634E50" w:rsidP="0021582B">
      <w:pPr>
        <w:pStyle w:val="FootnoteText"/>
        <w:contextualSpacing/>
        <w:rPr>
          <w:rFonts w:eastAsia="DengXian"/>
          <w:szCs w:val="16"/>
          <w:lang w:eastAsia="zh-CN"/>
        </w:rPr>
      </w:pPr>
      <w:r w:rsidRPr="00E63C99">
        <w:rPr>
          <w:rStyle w:val="FootnoteReference"/>
          <w:szCs w:val="16"/>
        </w:rPr>
        <w:footnoteRef/>
      </w:r>
      <w:r w:rsidRPr="00E63C99">
        <w:rPr>
          <w:szCs w:val="16"/>
        </w:rPr>
        <w:t xml:space="preserve"> </w:t>
      </w:r>
      <w:hyperlink r:id="rId19" w:history="1">
        <w:r w:rsidRPr="00E63C99">
          <w:rPr>
            <w:rStyle w:val="Hyperlink"/>
            <w:szCs w:val="16"/>
          </w:rPr>
          <w:t>Progress Update 2022: Five Years of Climate Action 100+</w:t>
        </w:r>
      </w:hyperlink>
      <w:r w:rsidRPr="00E63C99">
        <w:rPr>
          <w:szCs w:val="16"/>
        </w:rPr>
        <w:t xml:space="preserve"> </w:t>
      </w:r>
    </w:p>
  </w:footnote>
  <w:footnote w:id="19">
    <w:p w14:paraId="6945EAB1" w14:textId="7E832AF5" w:rsidR="00FA422B" w:rsidRPr="00E63C99" w:rsidRDefault="00FA422B" w:rsidP="0021582B">
      <w:pPr>
        <w:pStyle w:val="FootnoteText"/>
        <w:contextualSpacing/>
        <w:rPr>
          <w:szCs w:val="16"/>
          <w:lang w:val="x-none"/>
        </w:rPr>
      </w:pPr>
      <w:r w:rsidRPr="00E63C99">
        <w:rPr>
          <w:rStyle w:val="FootnoteReference"/>
          <w:szCs w:val="16"/>
        </w:rPr>
        <w:footnoteRef/>
      </w:r>
      <w:r w:rsidRPr="00E63C99">
        <w:rPr>
          <w:szCs w:val="16"/>
        </w:rPr>
        <w:t xml:space="preserve"> For the full case study: </w:t>
      </w:r>
      <w:hyperlink r:id="rId20" w:history="1">
        <w:r w:rsidRPr="00E63C99">
          <w:rPr>
            <w:rStyle w:val="Hyperlink"/>
            <w:szCs w:val="16"/>
            <w:lang w:val="x-none"/>
          </w:rPr>
          <w:t>https://www.unpri.org/active-ownership-20/storebrand-asset-management-leading-the-investors-policy-dialogue-on-deforestation/9980.article</w:t>
        </w:r>
      </w:hyperlink>
    </w:p>
  </w:footnote>
  <w:footnote w:id="20">
    <w:p w14:paraId="308B1F9B" w14:textId="1998DB69" w:rsidR="00FA422B" w:rsidRPr="00E63C99" w:rsidRDefault="00FA422B" w:rsidP="0021582B">
      <w:pPr>
        <w:pStyle w:val="FootnoteText"/>
        <w:contextualSpacing/>
        <w:rPr>
          <w:szCs w:val="16"/>
        </w:rPr>
      </w:pPr>
      <w:r w:rsidRPr="00E63C99">
        <w:rPr>
          <w:rStyle w:val="FootnoteReference"/>
          <w:szCs w:val="16"/>
        </w:rPr>
        <w:footnoteRef/>
      </w:r>
      <w:r w:rsidRPr="00E63C99">
        <w:rPr>
          <w:szCs w:val="16"/>
        </w:rPr>
        <w:t xml:space="preserve"> For the full case study: </w:t>
      </w:r>
      <w:hyperlink r:id="rId21" w:history="1">
        <w:r w:rsidRPr="00E63C99">
          <w:rPr>
            <w:rStyle w:val="Hyperlink"/>
            <w:szCs w:val="16"/>
            <w:lang w:val="x-none"/>
          </w:rPr>
          <w:t>https://www.unpri.org/active-ownership-20/mn-collaborating-through-platform-living-wage-financials/8756.article</w:t>
        </w:r>
      </w:hyperlink>
    </w:p>
  </w:footnote>
  <w:footnote w:id="21">
    <w:p w14:paraId="776CBD60" w14:textId="77777777" w:rsidR="006F635D" w:rsidRPr="00E63C99" w:rsidRDefault="006F635D" w:rsidP="0021582B">
      <w:pPr>
        <w:pStyle w:val="FootnoteText"/>
        <w:contextualSpacing/>
        <w:rPr>
          <w:szCs w:val="16"/>
        </w:rPr>
      </w:pPr>
      <w:r w:rsidRPr="00E63C99">
        <w:rPr>
          <w:rStyle w:val="FootnoteReference"/>
          <w:szCs w:val="16"/>
        </w:rPr>
        <w:footnoteRef/>
      </w:r>
      <w:r w:rsidRPr="00E63C99">
        <w:rPr>
          <w:szCs w:val="16"/>
        </w:rPr>
        <w:t xml:space="preserve"> Especially in relation to publicly traded investee enterprises, stewardship and public policy engagement are likely to be a particular focus for investors considering instrumental IFSI. </w:t>
      </w:r>
    </w:p>
  </w:footnote>
  <w:footnote w:id="22">
    <w:p w14:paraId="16B962E9" w14:textId="7BBEFD8F" w:rsidR="006C3C6D" w:rsidRPr="00E63C99" w:rsidRDefault="006C3C6D" w:rsidP="0021582B">
      <w:pPr>
        <w:pStyle w:val="FootnoteText"/>
        <w:contextualSpacing/>
        <w:rPr>
          <w:szCs w:val="16"/>
        </w:rPr>
      </w:pPr>
      <w:r w:rsidRPr="00E63C99">
        <w:rPr>
          <w:rStyle w:val="FootnoteReference"/>
          <w:szCs w:val="16"/>
        </w:rPr>
        <w:footnoteRef/>
      </w:r>
      <w:r w:rsidRPr="00E63C99">
        <w:rPr>
          <w:szCs w:val="16"/>
        </w:rPr>
        <w:t xml:space="preserve"> Freshfields Bruckhaus Deringer, PRI, United Nations Environment Programme Finance Initiative, Generation Foundation (2021), </w:t>
      </w:r>
      <w:hyperlink r:id="rId22" w:history="1">
        <w:r w:rsidRPr="00E63C99">
          <w:rPr>
            <w:rStyle w:val="Hyperlink"/>
            <w:szCs w:val="16"/>
          </w:rPr>
          <w:t>A Legal Framework for Impact: Sustainability impact in investor decision-making</w:t>
        </w:r>
      </w:hyperlink>
      <w:r w:rsidRPr="00E63C99">
        <w:rPr>
          <w:rStyle w:val="Hyperlink"/>
          <w:szCs w:val="16"/>
        </w:rPr>
        <w:t>, 15.</w:t>
      </w:r>
    </w:p>
  </w:footnote>
  <w:footnote w:id="23">
    <w:p w14:paraId="6DA7953A" w14:textId="1FFCA398" w:rsidR="000E208D" w:rsidRPr="00E63C99" w:rsidRDefault="000E208D" w:rsidP="0021582B">
      <w:pPr>
        <w:pStyle w:val="FootnoteText"/>
        <w:contextualSpacing/>
        <w:rPr>
          <w:szCs w:val="16"/>
        </w:rPr>
      </w:pPr>
      <w:r w:rsidRPr="00E63C99">
        <w:rPr>
          <w:rStyle w:val="FootnoteReference"/>
          <w:szCs w:val="16"/>
        </w:rPr>
        <w:footnoteRef/>
      </w:r>
      <w:r w:rsidRPr="00E63C99">
        <w:rPr>
          <w:szCs w:val="16"/>
        </w:rPr>
        <w:t xml:space="preserve"> </w:t>
      </w:r>
      <w:r w:rsidR="00041029" w:rsidRPr="00E63C99">
        <w:rPr>
          <w:szCs w:val="16"/>
        </w:rPr>
        <w:t xml:space="preserve">Denise Hearn, Cynthia Hanawalt, and Lisa Sachs, </w:t>
      </w:r>
      <w:hyperlink r:id="rId23" w:history="1">
        <w:r w:rsidR="00367567" w:rsidRPr="00E63C99">
          <w:rPr>
            <w:rStyle w:val="Hyperlink"/>
            <w:szCs w:val="16"/>
          </w:rPr>
          <w:t>Antitrust and Sustainability: A landscape analysis</w:t>
        </w:r>
      </w:hyperlink>
      <w:r w:rsidR="00367567" w:rsidRPr="00E63C99">
        <w:rPr>
          <w:szCs w:val="16"/>
        </w:rPr>
        <w:t xml:space="preserve">; </w:t>
      </w:r>
      <w:r w:rsidR="001450A2" w:rsidRPr="00E63C99">
        <w:rPr>
          <w:szCs w:val="16"/>
        </w:rPr>
        <w:t xml:space="preserve">Jindrich Kloub and Brent Snyder, </w:t>
      </w:r>
      <w:hyperlink r:id="rId24" w:history="1">
        <w:r w:rsidR="001450A2" w:rsidRPr="00E63C99">
          <w:rPr>
            <w:rStyle w:val="Hyperlink"/>
            <w:szCs w:val="16"/>
          </w:rPr>
          <w:t>Antitrust Laws and ESG Shareholder Engagement</w:t>
        </w:r>
      </w:hyperlink>
      <w:r w:rsidR="00AC2C2C" w:rsidRPr="00E63C99">
        <w:rPr>
          <w:szCs w:val="16"/>
        </w:rPr>
        <w:t xml:space="preserve">; Maurits Domans, Wanjie Lin and Jessica Hollis, </w:t>
      </w:r>
      <w:hyperlink r:id="rId25" w:history="1">
        <w:r w:rsidR="00AC2C2C" w:rsidRPr="00E63C99">
          <w:rPr>
            <w:rStyle w:val="Hyperlink"/>
            <w:szCs w:val="16"/>
          </w:rPr>
          <w:t xml:space="preserve">Sustainability and Net Zero </w:t>
        </w:r>
        <w:r w:rsidR="008A1C1F" w:rsidRPr="00E63C99">
          <w:rPr>
            <w:rStyle w:val="Hyperlink"/>
            <w:szCs w:val="16"/>
          </w:rPr>
          <w:t>c</w:t>
        </w:r>
        <w:r w:rsidR="00AC2C2C" w:rsidRPr="00E63C99">
          <w:rPr>
            <w:rStyle w:val="Hyperlink"/>
            <w:szCs w:val="16"/>
          </w:rPr>
          <w:t>limate agreements—</w:t>
        </w:r>
        <w:r w:rsidR="001450A2" w:rsidRPr="00E63C99">
          <w:rPr>
            <w:rStyle w:val="Hyperlink"/>
            <w:szCs w:val="16"/>
          </w:rPr>
          <w:t xml:space="preserve"> </w:t>
        </w:r>
        <w:r w:rsidR="008A1C1F" w:rsidRPr="00E63C99">
          <w:rPr>
            <w:rStyle w:val="Hyperlink"/>
            <w:szCs w:val="16"/>
          </w:rPr>
          <w:t>a transatlantic antitrust perspective</w:t>
        </w:r>
      </w:hyperlink>
      <w:r w:rsidR="008A1C1F" w:rsidRPr="00E63C99">
        <w:rPr>
          <w:szCs w:val="16"/>
        </w:rPr>
        <w:t xml:space="preserve">, </w:t>
      </w:r>
      <w:r w:rsidR="00886264" w:rsidRPr="00E63C99">
        <w:rPr>
          <w:szCs w:val="16"/>
        </w:rPr>
        <w:t>Competition Law &amp; Policy Debate, 2023</w:t>
      </w:r>
      <w:r w:rsidR="007E106C" w:rsidRPr="00E63C99">
        <w:rPr>
          <w:szCs w:val="16"/>
        </w:rPr>
        <w:t xml:space="preserve"> (8)2.</w:t>
      </w:r>
      <w:r w:rsidR="001A103B">
        <w:rPr>
          <w:szCs w:val="16"/>
        </w:rPr>
        <w:t xml:space="preserve"> </w:t>
      </w:r>
    </w:p>
  </w:footnote>
  <w:footnote w:id="24">
    <w:p w14:paraId="56CC94C2" w14:textId="0A399C95" w:rsidR="00BA7FAB" w:rsidRPr="00E63C99" w:rsidRDefault="00BA7FAB" w:rsidP="0021582B">
      <w:pPr>
        <w:spacing w:before="0" w:after="0" w:line="240" w:lineRule="auto"/>
        <w:contextualSpacing/>
        <w:rPr>
          <w:sz w:val="16"/>
          <w:szCs w:val="16"/>
        </w:rPr>
      </w:pPr>
      <w:r w:rsidRPr="00E63C99">
        <w:rPr>
          <w:rStyle w:val="FootnoteReference"/>
          <w:color w:val="767171" w:themeColor="background2" w:themeShade="80"/>
          <w:sz w:val="16"/>
          <w:szCs w:val="16"/>
        </w:rPr>
        <w:footnoteRef/>
      </w:r>
      <w:r w:rsidRPr="00E63C99">
        <w:rPr>
          <w:sz w:val="16"/>
          <w:szCs w:val="16"/>
        </w:rPr>
        <w:t xml:space="preserve"> A Legal Framework for Impact</w:t>
      </w:r>
      <w:r w:rsidR="009A733A" w:rsidRPr="00E63C99">
        <w:rPr>
          <w:sz w:val="16"/>
          <w:szCs w:val="16"/>
        </w:rPr>
        <w:t>,</w:t>
      </w:r>
      <w:r w:rsidRPr="00E63C99">
        <w:rPr>
          <w:sz w:val="16"/>
          <w:szCs w:val="16"/>
        </w:rPr>
        <w:t xml:space="preserve"> page 90.</w:t>
      </w:r>
    </w:p>
  </w:footnote>
  <w:footnote w:id="25">
    <w:p w14:paraId="34DD155E" w14:textId="7B265D7E" w:rsidR="001C2F31" w:rsidRPr="00E63C99" w:rsidRDefault="001C2F31" w:rsidP="0021582B">
      <w:pPr>
        <w:pStyle w:val="FootnoteText"/>
        <w:contextualSpacing/>
        <w:rPr>
          <w:szCs w:val="16"/>
        </w:rPr>
      </w:pPr>
      <w:r w:rsidRPr="00E63C99">
        <w:rPr>
          <w:rStyle w:val="FootnoteReference"/>
          <w:szCs w:val="16"/>
        </w:rPr>
        <w:footnoteRef/>
      </w:r>
      <w:r w:rsidRPr="00E63C99">
        <w:rPr>
          <w:szCs w:val="16"/>
        </w:rPr>
        <w:t xml:space="preserve"> </w:t>
      </w:r>
      <w:r w:rsidRPr="00C867E2">
        <w:rPr>
          <w:color w:val="auto"/>
          <w:szCs w:val="16"/>
        </w:rPr>
        <w:t xml:space="preserve">For example, in Australia see ASIC’s Regulatory Guide 128: Collective Action by Investors, 23 June 2015. In Japan, see section 2 of the </w:t>
      </w:r>
      <w:r w:rsidR="006461AE">
        <w:rPr>
          <w:color w:val="auto"/>
          <w:szCs w:val="16"/>
        </w:rPr>
        <w:t>‘</w:t>
      </w:r>
      <w:r w:rsidRPr="00C867E2">
        <w:rPr>
          <w:color w:val="auto"/>
          <w:szCs w:val="16"/>
        </w:rPr>
        <w:t>Clarification of Legal Issues Related to the Development of the Japan’s Stewardship Code</w:t>
      </w:r>
      <w:r w:rsidR="006461AE">
        <w:rPr>
          <w:color w:val="auto"/>
          <w:szCs w:val="16"/>
        </w:rPr>
        <w:t>’</w:t>
      </w:r>
      <w:r w:rsidRPr="00C867E2">
        <w:rPr>
          <w:color w:val="auto"/>
          <w:szCs w:val="16"/>
        </w:rPr>
        <w:t xml:space="preserve"> (accessible via https://www.fsa.go.jp/en/ refer/councils/stewardship/20140226.pdf). In South Africa, see the approach to collaboration under CRISA. In the UK, see the approach to collaboration under the Stewardship Code 2020.</w:t>
      </w:r>
    </w:p>
  </w:footnote>
  <w:footnote w:id="26">
    <w:p w14:paraId="45DDB305" w14:textId="1D7BD0AF" w:rsidR="006E4477" w:rsidRPr="00E63C99" w:rsidRDefault="006E4477" w:rsidP="0021582B">
      <w:pPr>
        <w:pStyle w:val="FootnoteText"/>
        <w:contextualSpacing/>
        <w:rPr>
          <w:szCs w:val="16"/>
        </w:rPr>
      </w:pPr>
      <w:r w:rsidRPr="00E63C99">
        <w:rPr>
          <w:rStyle w:val="FootnoteReference"/>
          <w:szCs w:val="16"/>
        </w:rPr>
        <w:footnoteRef/>
      </w:r>
      <w:r w:rsidR="00F46847" w:rsidRPr="00E63C99">
        <w:rPr>
          <w:szCs w:val="16"/>
        </w:rPr>
        <w:t xml:space="preserve"> Denise Hearn, Cynthia Hanawalt, and Lisa Sachs, </w:t>
      </w:r>
      <w:hyperlink r:id="rId26" w:history="1">
        <w:r w:rsidR="00F46847" w:rsidRPr="00E63C99">
          <w:rPr>
            <w:rStyle w:val="Hyperlink"/>
            <w:szCs w:val="16"/>
          </w:rPr>
          <w:t>Antitrust and Sustainability: A landscape analysis</w:t>
        </w:r>
      </w:hyperlink>
    </w:p>
  </w:footnote>
  <w:footnote w:id="27">
    <w:p w14:paraId="7C06D1D3" w14:textId="77777777" w:rsidR="005251A5" w:rsidRPr="00E63C99" w:rsidRDefault="005251A5" w:rsidP="0021582B">
      <w:pPr>
        <w:pStyle w:val="FootnoteText"/>
        <w:contextualSpacing/>
        <w:rPr>
          <w:szCs w:val="16"/>
        </w:rPr>
      </w:pPr>
      <w:r w:rsidRPr="00E63C99">
        <w:rPr>
          <w:rStyle w:val="FootnoteReference"/>
          <w:szCs w:val="16"/>
        </w:rPr>
        <w:footnoteRef/>
      </w:r>
      <w:r w:rsidRPr="00E63C99">
        <w:rPr>
          <w:szCs w:val="16"/>
        </w:rPr>
        <w:t xml:space="preserve"> </w:t>
      </w:r>
      <w:hyperlink r:id="rId27" w:history="1">
        <w:r w:rsidRPr="00E63C99">
          <w:rPr>
            <w:rStyle w:val="Hyperlink"/>
            <w:szCs w:val="16"/>
          </w:rPr>
          <w:t>2023_revised_horizontal_guidelines_en_0.pdf (europa.eu)</w:t>
        </w:r>
      </w:hyperlink>
    </w:p>
  </w:footnote>
  <w:footnote w:id="28">
    <w:p w14:paraId="32B68E49" w14:textId="77777777" w:rsidR="00F53898" w:rsidRPr="00E63C99" w:rsidRDefault="00F53898" w:rsidP="0021582B">
      <w:pPr>
        <w:pStyle w:val="FootnoteText"/>
        <w:contextualSpacing/>
        <w:rPr>
          <w:szCs w:val="16"/>
        </w:rPr>
      </w:pPr>
      <w:r w:rsidRPr="00E63C99">
        <w:rPr>
          <w:rStyle w:val="FootnoteReference"/>
          <w:szCs w:val="16"/>
        </w:rPr>
        <w:footnoteRef/>
      </w:r>
      <w:r w:rsidRPr="00E63C99">
        <w:rPr>
          <w:szCs w:val="16"/>
        </w:rPr>
        <w:t xml:space="preserve"> UK Government 2022, </w:t>
      </w:r>
      <w:hyperlink r:id="rId28" w:history="1">
        <w:r w:rsidRPr="00E63C99">
          <w:rPr>
            <w:rStyle w:val="Hyperlink"/>
            <w:szCs w:val="16"/>
          </w:rPr>
          <w:t>Environmental sustainability and the UK competition and consumer regimes: CMA advise to the Government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7BFA" w14:textId="4142608A" w:rsidR="004B07A1" w:rsidRDefault="00000000">
    <w:pPr>
      <w:pStyle w:val="Header"/>
    </w:pPr>
    <w:r>
      <w:rPr>
        <w:noProof/>
      </w:rPr>
      <w:pict w14:anchorId="304AE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82969" o:spid="_x0000_s1027" type="#_x0000_t136" alt="" style="position:absolute;margin-left:0;margin-top:0;width:462.45pt;height:184.9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BDAB" w14:textId="2D2B2E63" w:rsidR="004B07A1" w:rsidRDefault="00000000">
    <w:pPr>
      <w:pStyle w:val="Header"/>
    </w:pPr>
    <w:r>
      <w:rPr>
        <w:noProof/>
      </w:rPr>
      <w:pict w14:anchorId="5BAEE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82970" o:spid="_x0000_s1026" type="#_x0000_t136" alt="" style="position:absolute;margin-left:0;margin-top:0;width:462.45pt;height:184.9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1B16" w14:textId="2C56160E" w:rsidR="004B07A1" w:rsidRDefault="00000000">
    <w:pPr>
      <w:pStyle w:val="Header"/>
    </w:pPr>
    <w:r>
      <w:rPr>
        <w:noProof/>
      </w:rPr>
      <w:pict w14:anchorId="77F53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82968" o:spid="_x0000_s1025" type="#_x0000_t136" alt="" style="position:absolute;margin-left:0;margin-top:0;width:462.45pt;height:184.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89C371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35F11F"/>
    <w:multiLevelType w:val="hybridMultilevel"/>
    <w:tmpl w:val="11FA2370"/>
    <w:lvl w:ilvl="0" w:tplc="DF56643E">
      <w:start w:val="1"/>
      <w:numFmt w:val="bullet"/>
      <w:lvlText w:val="-"/>
      <w:lvlJc w:val="left"/>
      <w:pPr>
        <w:ind w:left="720" w:hanging="360"/>
      </w:pPr>
      <w:rPr>
        <w:rFonts w:ascii="Calibri" w:hAnsi="Calibri" w:hint="default"/>
      </w:rPr>
    </w:lvl>
    <w:lvl w:ilvl="1" w:tplc="2D06BB78">
      <w:start w:val="1"/>
      <w:numFmt w:val="bullet"/>
      <w:lvlText w:val="o"/>
      <w:lvlJc w:val="left"/>
      <w:pPr>
        <w:ind w:left="1440" w:hanging="360"/>
      </w:pPr>
      <w:rPr>
        <w:rFonts w:ascii="Courier New" w:hAnsi="Courier New" w:hint="default"/>
      </w:rPr>
    </w:lvl>
    <w:lvl w:ilvl="2" w:tplc="658056AA">
      <w:start w:val="1"/>
      <w:numFmt w:val="bullet"/>
      <w:lvlText w:val=""/>
      <w:lvlJc w:val="left"/>
      <w:pPr>
        <w:ind w:left="2160" w:hanging="360"/>
      </w:pPr>
      <w:rPr>
        <w:rFonts w:ascii="Wingdings" w:hAnsi="Wingdings" w:hint="default"/>
      </w:rPr>
    </w:lvl>
    <w:lvl w:ilvl="3" w:tplc="18B408DE">
      <w:start w:val="1"/>
      <w:numFmt w:val="bullet"/>
      <w:lvlText w:val=""/>
      <w:lvlJc w:val="left"/>
      <w:pPr>
        <w:ind w:left="2880" w:hanging="360"/>
      </w:pPr>
      <w:rPr>
        <w:rFonts w:ascii="Symbol" w:hAnsi="Symbol" w:hint="default"/>
      </w:rPr>
    </w:lvl>
    <w:lvl w:ilvl="4" w:tplc="89643DBE">
      <w:start w:val="1"/>
      <w:numFmt w:val="bullet"/>
      <w:lvlText w:val="o"/>
      <w:lvlJc w:val="left"/>
      <w:pPr>
        <w:ind w:left="3600" w:hanging="360"/>
      </w:pPr>
      <w:rPr>
        <w:rFonts w:ascii="Courier New" w:hAnsi="Courier New" w:hint="default"/>
      </w:rPr>
    </w:lvl>
    <w:lvl w:ilvl="5" w:tplc="257A05AA">
      <w:start w:val="1"/>
      <w:numFmt w:val="bullet"/>
      <w:lvlText w:val=""/>
      <w:lvlJc w:val="left"/>
      <w:pPr>
        <w:ind w:left="4320" w:hanging="360"/>
      </w:pPr>
      <w:rPr>
        <w:rFonts w:ascii="Wingdings" w:hAnsi="Wingdings" w:hint="default"/>
      </w:rPr>
    </w:lvl>
    <w:lvl w:ilvl="6" w:tplc="A9BC0D2E">
      <w:start w:val="1"/>
      <w:numFmt w:val="bullet"/>
      <w:lvlText w:val=""/>
      <w:lvlJc w:val="left"/>
      <w:pPr>
        <w:ind w:left="5040" w:hanging="360"/>
      </w:pPr>
      <w:rPr>
        <w:rFonts w:ascii="Symbol" w:hAnsi="Symbol" w:hint="default"/>
      </w:rPr>
    </w:lvl>
    <w:lvl w:ilvl="7" w:tplc="17C07A14">
      <w:start w:val="1"/>
      <w:numFmt w:val="bullet"/>
      <w:lvlText w:val="o"/>
      <w:lvlJc w:val="left"/>
      <w:pPr>
        <w:ind w:left="5760" w:hanging="360"/>
      </w:pPr>
      <w:rPr>
        <w:rFonts w:ascii="Courier New" w:hAnsi="Courier New" w:hint="default"/>
      </w:rPr>
    </w:lvl>
    <w:lvl w:ilvl="8" w:tplc="E2A806F0">
      <w:start w:val="1"/>
      <w:numFmt w:val="bullet"/>
      <w:lvlText w:val=""/>
      <w:lvlJc w:val="left"/>
      <w:pPr>
        <w:ind w:left="6480" w:hanging="360"/>
      </w:pPr>
      <w:rPr>
        <w:rFonts w:ascii="Wingdings" w:hAnsi="Wingdings" w:hint="default"/>
      </w:rPr>
    </w:lvl>
  </w:abstractNum>
  <w:abstractNum w:abstractNumId="2" w15:restartNumberingAfterBreak="0">
    <w:nsid w:val="08E86349"/>
    <w:multiLevelType w:val="multilevel"/>
    <w:tmpl w:val="58E4895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 w15:restartNumberingAfterBreak="0">
    <w:nsid w:val="0DB33FDE"/>
    <w:multiLevelType w:val="hybridMultilevel"/>
    <w:tmpl w:val="F35C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13D8D"/>
    <w:multiLevelType w:val="multilevel"/>
    <w:tmpl w:val="173220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70C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1842994"/>
    <w:multiLevelType w:val="hybridMultilevel"/>
    <w:tmpl w:val="7F9ADD3A"/>
    <w:lvl w:ilvl="0" w:tplc="971EF2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5251D"/>
    <w:multiLevelType w:val="hybridMultilevel"/>
    <w:tmpl w:val="01D82610"/>
    <w:lvl w:ilvl="0" w:tplc="971EF2A4">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15:restartNumberingAfterBreak="0">
    <w:nsid w:val="1E3513F7"/>
    <w:multiLevelType w:val="multilevel"/>
    <w:tmpl w:val="1EC0EDB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8" w15:restartNumberingAfterBreak="0">
    <w:nsid w:val="1FAD57D6"/>
    <w:multiLevelType w:val="hybridMultilevel"/>
    <w:tmpl w:val="FBC0A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8ED4AC7"/>
    <w:multiLevelType w:val="hybridMultilevel"/>
    <w:tmpl w:val="100C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F4722"/>
    <w:multiLevelType w:val="hybridMultilevel"/>
    <w:tmpl w:val="59C0B774"/>
    <w:lvl w:ilvl="0" w:tplc="BB14A38A">
      <w:start w:val="1"/>
      <w:numFmt w:val="bullet"/>
      <w:pStyle w:val="Bullestlist2"/>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795619"/>
    <w:multiLevelType w:val="hybridMultilevel"/>
    <w:tmpl w:val="2A9E3374"/>
    <w:lvl w:ilvl="0" w:tplc="FFFFFFFF">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15332"/>
    <w:multiLevelType w:val="hybridMultilevel"/>
    <w:tmpl w:val="FE0E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0772F"/>
    <w:multiLevelType w:val="hybridMultilevel"/>
    <w:tmpl w:val="074E93DA"/>
    <w:lvl w:ilvl="0" w:tplc="DF5A380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5" w15:restartNumberingAfterBreak="0">
    <w:nsid w:val="47DE4FAF"/>
    <w:multiLevelType w:val="hybridMultilevel"/>
    <w:tmpl w:val="25C8EA68"/>
    <w:lvl w:ilvl="0" w:tplc="CBE0E830">
      <w:start w:val="1"/>
      <w:numFmt w:val="bullet"/>
      <w:pStyle w:val="Bullet1"/>
      <w:lvlText w:val=""/>
      <w:lvlJc w:val="left"/>
      <w:pPr>
        <w:ind w:left="360" w:hanging="360"/>
      </w:pPr>
      <w:rPr>
        <w:rFonts w:ascii="Symbol" w:hAnsi="Symbol" w:hint="default"/>
        <w:color w:val="FFC000" w:themeColor="accent4"/>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203AF8"/>
    <w:multiLevelType w:val="hybridMultilevel"/>
    <w:tmpl w:val="0038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D1FDF"/>
    <w:multiLevelType w:val="multilevel"/>
    <w:tmpl w:val="AC2E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4666AC"/>
    <w:multiLevelType w:val="hybridMultilevel"/>
    <w:tmpl w:val="0E726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0603898"/>
    <w:multiLevelType w:val="multilevel"/>
    <w:tmpl w:val="C594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0868F7"/>
    <w:multiLevelType w:val="multilevel"/>
    <w:tmpl w:val="3BC6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067CB"/>
    <w:multiLevelType w:val="hybridMultilevel"/>
    <w:tmpl w:val="3D30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F25BA"/>
    <w:multiLevelType w:val="multilevel"/>
    <w:tmpl w:val="1866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1D4019"/>
    <w:multiLevelType w:val="multilevel"/>
    <w:tmpl w:val="6324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313F59"/>
    <w:multiLevelType w:val="hybridMultilevel"/>
    <w:tmpl w:val="AF4ECE10"/>
    <w:lvl w:ilvl="0" w:tplc="FFFFFFFF">
      <w:start w:val="1"/>
      <w:numFmt w:val="bullet"/>
      <w:pStyle w:val="Subtitle"/>
      <w:lvlText w:val="■"/>
      <w:lvlJc w:val="left"/>
      <w:pPr>
        <w:ind w:left="720" w:hanging="360"/>
      </w:pPr>
      <w:rPr>
        <w:rFonts w:ascii="Arial" w:hAnsi="Aria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91802"/>
    <w:multiLevelType w:val="multilevel"/>
    <w:tmpl w:val="870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2265B"/>
    <w:multiLevelType w:val="multilevel"/>
    <w:tmpl w:val="460A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ED7206"/>
    <w:multiLevelType w:val="hybridMultilevel"/>
    <w:tmpl w:val="2302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F577E4"/>
    <w:multiLevelType w:val="hybridMultilevel"/>
    <w:tmpl w:val="55F4FB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A7294"/>
    <w:multiLevelType w:val="hybridMultilevel"/>
    <w:tmpl w:val="CC6A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F0CF2"/>
    <w:multiLevelType w:val="hybridMultilevel"/>
    <w:tmpl w:val="F4C25C1C"/>
    <w:lvl w:ilvl="0" w:tplc="1496365C">
      <w:start w:val="1"/>
      <w:numFmt w:val="bullet"/>
      <w:pStyle w:val="ListBullet3"/>
      <w:lvlText w:val="■"/>
      <w:lvlJc w:val="left"/>
      <w:pPr>
        <w:tabs>
          <w:tab w:val="num" w:pos="926"/>
        </w:tabs>
        <w:ind w:left="926"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154236">
    <w:abstractNumId w:val="1"/>
  </w:num>
  <w:num w:numId="2" w16cid:durableId="2045052843">
    <w:abstractNumId w:val="12"/>
  </w:num>
  <w:num w:numId="3" w16cid:durableId="936988607">
    <w:abstractNumId w:val="0"/>
  </w:num>
  <w:num w:numId="4" w16cid:durableId="55054472">
    <w:abstractNumId w:val="24"/>
  </w:num>
  <w:num w:numId="5" w16cid:durableId="261189166">
    <w:abstractNumId w:val="11"/>
  </w:num>
  <w:num w:numId="6" w16cid:durableId="841551215">
    <w:abstractNumId w:val="30"/>
  </w:num>
  <w:num w:numId="7" w16cid:durableId="1653484363">
    <w:abstractNumId w:val="15"/>
  </w:num>
  <w:num w:numId="8" w16cid:durableId="668102605">
    <w:abstractNumId w:val="4"/>
  </w:num>
  <w:num w:numId="9" w16cid:durableId="1871530363">
    <w:abstractNumId w:val="9"/>
  </w:num>
  <w:num w:numId="10" w16cid:durableId="720860964">
    <w:abstractNumId w:val="14"/>
  </w:num>
  <w:num w:numId="11" w16cid:durableId="228927747">
    <w:abstractNumId w:val="22"/>
  </w:num>
  <w:num w:numId="12" w16cid:durableId="525171914">
    <w:abstractNumId w:val="23"/>
  </w:num>
  <w:num w:numId="13" w16cid:durableId="348412993">
    <w:abstractNumId w:val="17"/>
  </w:num>
  <w:num w:numId="14" w16cid:durableId="1706520926">
    <w:abstractNumId w:val="19"/>
  </w:num>
  <w:num w:numId="15" w16cid:durableId="1709140657">
    <w:abstractNumId w:val="7"/>
  </w:num>
  <w:num w:numId="16" w16cid:durableId="1530411347">
    <w:abstractNumId w:val="2"/>
  </w:num>
  <w:num w:numId="17" w16cid:durableId="247351150">
    <w:abstractNumId w:val="8"/>
  </w:num>
  <w:num w:numId="18" w16cid:durableId="1199709333">
    <w:abstractNumId w:val="16"/>
  </w:num>
  <w:num w:numId="19" w16cid:durableId="2043700324">
    <w:abstractNumId w:val="10"/>
  </w:num>
  <w:num w:numId="20" w16cid:durableId="1279289787">
    <w:abstractNumId w:val="27"/>
  </w:num>
  <w:num w:numId="21" w16cid:durableId="1640453149">
    <w:abstractNumId w:val="26"/>
  </w:num>
  <w:num w:numId="22" w16cid:durableId="2024234824">
    <w:abstractNumId w:val="25"/>
  </w:num>
  <w:num w:numId="23" w16cid:durableId="10192412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397088">
    <w:abstractNumId w:val="5"/>
  </w:num>
  <w:num w:numId="25" w16cid:durableId="1900747416">
    <w:abstractNumId w:val="6"/>
  </w:num>
  <w:num w:numId="26" w16cid:durableId="949972075">
    <w:abstractNumId w:val="3"/>
  </w:num>
  <w:num w:numId="27" w16cid:durableId="808595908">
    <w:abstractNumId w:val="29"/>
  </w:num>
  <w:num w:numId="28" w16cid:durableId="1091438727">
    <w:abstractNumId w:val="13"/>
  </w:num>
  <w:num w:numId="29" w16cid:durableId="893124960">
    <w:abstractNumId w:val="28"/>
  </w:num>
  <w:num w:numId="30" w16cid:durableId="784544786">
    <w:abstractNumId w:val="21"/>
  </w:num>
  <w:num w:numId="31" w16cid:durableId="154482762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50"/>
    <w:rsid w:val="00000B06"/>
    <w:rsid w:val="00000C30"/>
    <w:rsid w:val="00002ED8"/>
    <w:rsid w:val="00002FFC"/>
    <w:rsid w:val="0000306F"/>
    <w:rsid w:val="0000387C"/>
    <w:rsid w:val="000038F2"/>
    <w:rsid w:val="00004021"/>
    <w:rsid w:val="00004D4D"/>
    <w:rsid w:val="00005286"/>
    <w:rsid w:val="00006147"/>
    <w:rsid w:val="00006408"/>
    <w:rsid w:val="00006A8E"/>
    <w:rsid w:val="00007161"/>
    <w:rsid w:val="00007994"/>
    <w:rsid w:val="00012022"/>
    <w:rsid w:val="00014720"/>
    <w:rsid w:val="0001650D"/>
    <w:rsid w:val="00016F96"/>
    <w:rsid w:val="00020502"/>
    <w:rsid w:val="00021865"/>
    <w:rsid w:val="000236AD"/>
    <w:rsid w:val="0002386F"/>
    <w:rsid w:val="000245AD"/>
    <w:rsid w:val="00024955"/>
    <w:rsid w:val="00024C5E"/>
    <w:rsid w:val="0002629A"/>
    <w:rsid w:val="00026BBB"/>
    <w:rsid w:val="00027567"/>
    <w:rsid w:val="0002ED41"/>
    <w:rsid w:val="00030CC8"/>
    <w:rsid w:val="00030FC6"/>
    <w:rsid w:val="00031188"/>
    <w:rsid w:val="00031E56"/>
    <w:rsid w:val="000325BB"/>
    <w:rsid w:val="00033596"/>
    <w:rsid w:val="0003368D"/>
    <w:rsid w:val="000342BE"/>
    <w:rsid w:val="00035166"/>
    <w:rsid w:val="0003537C"/>
    <w:rsid w:val="00035FF7"/>
    <w:rsid w:val="000365F3"/>
    <w:rsid w:val="0003681B"/>
    <w:rsid w:val="00036DE1"/>
    <w:rsid w:val="000370C3"/>
    <w:rsid w:val="00037877"/>
    <w:rsid w:val="00037A3D"/>
    <w:rsid w:val="00037C24"/>
    <w:rsid w:val="00037E3D"/>
    <w:rsid w:val="000407C8"/>
    <w:rsid w:val="00041029"/>
    <w:rsid w:val="00041E64"/>
    <w:rsid w:val="00043284"/>
    <w:rsid w:val="00043314"/>
    <w:rsid w:val="000433A3"/>
    <w:rsid w:val="000439C5"/>
    <w:rsid w:val="00044D40"/>
    <w:rsid w:val="0004566B"/>
    <w:rsid w:val="00045F2A"/>
    <w:rsid w:val="00050301"/>
    <w:rsid w:val="00050708"/>
    <w:rsid w:val="000507AC"/>
    <w:rsid w:val="00053666"/>
    <w:rsid w:val="00054604"/>
    <w:rsid w:val="00054CA6"/>
    <w:rsid w:val="00054DF0"/>
    <w:rsid w:val="00055139"/>
    <w:rsid w:val="00055555"/>
    <w:rsid w:val="00055841"/>
    <w:rsid w:val="0005635E"/>
    <w:rsid w:val="00057321"/>
    <w:rsid w:val="000574B9"/>
    <w:rsid w:val="000575EE"/>
    <w:rsid w:val="000578E9"/>
    <w:rsid w:val="0005795F"/>
    <w:rsid w:val="0006053E"/>
    <w:rsid w:val="0006078B"/>
    <w:rsid w:val="00061542"/>
    <w:rsid w:val="00061688"/>
    <w:rsid w:val="00061D2E"/>
    <w:rsid w:val="0006278B"/>
    <w:rsid w:val="00062BA6"/>
    <w:rsid w:val="00063150"/>
    <w:rsid w:val="00063C07"/>
    <w:rsid w:val="00065B7B"/>
    <w:rsid w:val="000702F4"/>
    <w:rsid w:val="0007055A"/>
    <w:rsid w:val="00070600"/>
    <w:rsid w:val="000708E4"/>
    <w:rsid w:val="00070F5F"/>
    <w:rsid w:val="00071936"/>
    <w:rsid w:val="000728D4"/>
    <w:rsid w:val="00072D0E"/>
    <w:rsid w:val="00073BB6"/>
    <w:rsid w:val="00073FDE"/>
    <w:rsid w:val="00074430"/>
    <w:rsid w:val="0007624B"/>
    <w:rsid w:val="000775FA"/>
    <w:rsid w:val="0007775F"/>
    <w:rsid w:val="00077990"/>
    <w:rsid w:val="00080008"/>
    <w:rsid w:val="00080EA2"/>
    <w:rsid w:val="00082066"/>
    <w:rsid w:val="000827A5"/>
    <w:rsid w:val="00082840"/>
    <w:rsid w:val="00082C03"/>
    <w:rsid w:val="00083007"/>
    <w:rsid w:val="000832F0"/>
    <w:rsid w:val="00083466"/>
    <w:rsid w:val="00083823"/>
    <w:rsid w:val="00083AE5"/>
    <w:rsid w:val="00085D4A"/>
    <w:rsid w:val="00085F7B"/>
    <w:rsid w:val="0008615B"/>
    <w:rsid w:val="00086ECF"/>
    <w:rsid w:val="00087A88"/>
    <w:rsid w:val="00087D84"/>
    <w:rsid w:val="00087F81"/>
    <w:rsid w:val="00090AC9"/>
    <w:rsid w:val="00090C6F"/>
    <w:rsid w:val="00091183"/>
    <w:rsid w:val="0009173A"/>
    <w:rsid w:val="00091FBA"/>
    <w:rsid w:val="000922F2"/>
    <w:rsid w:val="00093924"/>
    <w:rsid w:val="0009411C"/>
    <w:rsid w:val="00094D4A"/>
    <w:rsid w:val="0009627A"/>
    <w:rsid w:val="0009649F"/>
    <w:rsid w:val="00096CAD"/>
    <w:rsid w:val="00096D1A"/>
    <w:rsid w:val="00097590"/>
    <w:rsid w:val="0009769E"/>
    <w:rsid w:val="000A0770"/>
    <w:rsid w:val="000A1AED"/>
    <w:rsid w:val="000A1CB4"/>
    <w:rsid w:val="000A27E1"/>
    <w:rsid w:val="000A291F"/>
    <w:rsid w:val="000A3670"/>
    <w:rsid w:val="000A3D34"/>
    <w:rsid w:val="000A400E"/>
    <w:rsid w:val="000A4F1C"/>
    <w:rsid w:val="000A57E8"/>
    <w:rsid w:val="000A752D"/>
    <w:rsid w:val="000A7896"/>
    <w:rsid w:val="000A7E8D"/>
    <w:rsid w:val="000B016B"/>
    <w:rsid w:val="000B168E"/>
    <w:rsid w:val="000B1911"/>
    <w:rsid w:val="000B340B"/>
    <w:rsid w:val="000B3493"/>
    <w:rsid w:val="000B4ACC"/>
    <w:rsid w:val="000B4FDD"/>
    <w:rsid w:val="000B5DE5"/>
    <w:rsid w:val="000B5E9F"/>
    <w:rsid w:val="000B6A6F"/>
    <w:rsid w:val="000B6BF1"/>
    <w:rsid w:val="000C011D"/>
    <w:rsid w:val="000C1055"/>
    <w:rsid w:val="000C148B"/>
    <w:rsid w:val="000C16DE"/>
    <w:rsid w:val="000C19C4"/>
    <w:rsid w:val="000C1E25"/>
    <w:rsid w:val="000C2081"/>
    <w:rsid w:val="000C20DB"/>
    <w:rsid w:val="000C3528"/>
    <w:rsid w:val="000C4E83"/>
    <w:rsid w:val="000C57CF"/>
    <w:rsid w:val="000C5B2B"/>
    <w:rsid w:val="000C67CD"/>
    <w:rsid w:val="000C6BCC"/>
    <w:rsid w:val="000D01BD"/>
    <w:rsid w:val="000D0E83"/>
    <w:rsid w:val="000D194A"/>
    <w:rsid w:val="000D392D"/>
    <w:rsid w:val="000D4B0C"/>
    <w:rsid w:val="000D523D"/>
    <w:rsid w:val="000D5267"/>
    <w:rsid w:val="000D583E"/>
    <w:rsid w:val="000D5A10"/>
    <w:rsid w:val="000D60A8"/>
    <w:rsid w:val="000D625E"/>
    <w:rsid w:val="000E0273"/>
    <w:rsid w:val="000E0D1F"/>
    <w:rsid w:val="000E208D"/>
    <w:rsid w:val="000E31F4"/>
    <w:rsid w:val="000E378D"/>
    <w:rsid w:val="000E380D"/>
    <w:rsid w:val="000E386C"/>
    <w:rsid w:val="000E3D7A"/>
    <w:rsid w:val="000E4065"/>
    <w:rsid w:val="000E47DA"/>
    <w:rsid w:val="000E4EFA"/>
    <w:rsid w:val="000E6D89"/>
    <w:rsid w:val="000E7CFE"/>
    <w:rsid w:val="000F1D95"/>
    <w:rsid w:val="000F1F2D"/>
    <w:rsid w:val="000F23F8"/>
    <w:rsid w:val="000F2F1A"/>
    <w:rsid w:val="000F3547"/>
    <w:rsid w:val="000F3888"/>
    <w:rsid w:val="000F3901"/>
    <w:rsid w:val="000F3E12"/>
    <w:rsid w:val="000F4009"/>
    <w:rsid w:val="000F45A7"/>
    <w:rsid w:val="000F4A3E"/>
    <w:rsid w:val="000F50B6"/>
    <w:rsid w:val="000F536E"/>
    <w:rsid w:val="000F68C9"/>
    <w:rsid w:val="000F6B19"/>
    <w:rsid w:val="001010FC"/>
    <w:rsid w:val="00101465"/>
    <w:rsid w:val="001020F5"/>
    <w:rsid w:val="0010226E"/>
    <w:rsid w:val="0010299A"/>
    <w:rsid w:val="00102BAB"/>
    <w:rsid w:val="0010360D"/>
    <w:rsid w:val="0010367D"/>
    <w:rsid w:val="00103960"/>
    <w:rsid w:val="00103E65"/>
    <w:rsid w:val="00103FC9"/>
    <w:rsid w:val="00104CA0"/>
    <w:rsid w:val="00104E6D"/>
    <w:rsid w:val="00105CFD"/>
    <w:rsid w:val="00105D0F"/>
    <w:rsid w:val="00105F88"/>
    <w:rsid w:val="001061FC"/>
    <w:rsid w:val="0010661F"/>
    <w:rsid w:val="00106C1D"/>
    <w:rsid w:val="0010704A"/>
    <w:rsid w:val="00107A7D"/>
    <w:rsid w:val="00107C91"/>
    <w:rsid w:val="00110BF8"/>
    <w:rsid w:val="00111116"/>
    <w:rsid w:val="0011114B"/>
    <w:rsid w:val="00111A08"/>
    <w:rsid w:val="00111CAC"/>
    <w:rsid w:val="0011282B"/>
    <w:rsid w:val="00112E34"/>
    <w:rsid w:val="001134C2"/>
    <w:rsid w:val="00114B84"/>
    <w:rsid w:val="00114D35"/>
    <w:rsid w:val="00114E9C"/>
    <w:rsid w:val="00115889"/>
    <w:rsid w:val="00115B75"/>
    <w:rsid w:val="00116F84"/>
    <w:rsid w:val="00116F9C"/>
    <w:rsid w:val="001171D3"/>
    <w:rsid w:val="0012060F"/>
    <w:rsid w:val="00121096"/>
    <w:rsid w:val="001213CF"/>
    <w:rsid w:val="00121A0D"/>
    <w:rsid w:val="00121F23"/>
    <w:rsid w:val="00122247"/>
    <w:rsid w:val="001227ED"/>
    <w:rsid w:val="00122DF6"/>
    <w:rsid w:val="00123BF0"/>
    <w:rsid w:val="00123DA1"/>
    <w:rsid w:val="00124077"/>
    <w:rsid w:val="00124292"/>
    <w:rsid w:val="00124BD7"/>
    <w:rsid w:val="0012544A"/>
    <w:rsid w:val="001257B5"/>
    <w:rsid w:val="001275D1"/>
    <w:rsid w:val="00127A75"/>
    <w:rsid w:val="00127B4A"/>
    <w:rsid w:val="00127B5A"/>
    <w:rsid w:val="00127CB3"/>
    <w:rsid w:val="00127DB2"/>
    <w:rsid w:val="00130F99"/>
    <w:rsid w:val="0013110F"/>
    <w:rsid w:val="00132E07"/>
    <w:rsid w:val="00133A3F"/>
    <w:rsid w:val="00133D72"/>
    <w:rsid w:val="0013475A"/>
    <w:rsid w:val="00134B01"/>
    <w:rsid w:val="00134E70"/>
    <w:rsid w:val="001350BF"/>
    <w:rsid w:val="00135476"/>
    <w:rsid w:val="00137217"/>
    <w:rsid w:val="00137E5C"/>
    <w:rsid w:val="00140177"/>
    <w:rsid w:val="001406F3"/>
    <w:rsid w:val="00140A64"/>
    <w:rsid w:val="00140F18"/>
    <w:rsid w:val="00141127"/>
    <w:rsid w:val="0014227E"/>
    <w:rsid w:val="00142916"/>
    <w:rsid w:val="00144ECB"/>
    <w:rsid w:val="001450A2"/>
    <w:rsid w:val="00145263"/>
    <w:rsid w:val="001452D4"/>
    <w:rsid w:val="0014564E"/>
    <w:rsid w:val="00145E7E"/>
    <w:rsid w:val="001465E4"/>
    <w:rsid w:val="00146AAE"/>
    <w:rsid w:val="00147839"/>
    <w:rsid w:val="00150993"/>
    <w:rsid w:val="00150B16"/>
    <w:rsid w:val="00150BB7"/>
    <w:rsid w:val="00151564"/>
    <w:rsid w:val="00151646"/>
    <w:rsid w:val="00152997"/>
    <w:rsid w:val="00153F01"/>
    <w:rsid w:val="001552CF"/>
    <w:rsid w:val="001553DA"/>
    <w:rsid w:val="00155725"/>
    <w:rsid w:val="00155CB2"/>
    <w:rsid w:val="00155D39"/>
    <w:rsid w:val="00155F04"/>
    <w:rsid w:val="001560AE"/>
    <w:rsid w:val="0015635E"/>
    <w:rsid w:val="00156563"/>
    <w:rsid w:val="00157BD5"/>
    <w:rsid w:val="001609E8"/>
    <w:rsid w:val="00160D11"/>
    <w:rsid w:val="00160E6D"/>
    <w:rsid w:val="001617AB"/>
    <w:rsid w:val="00162A2D"/>
    <w:rsid w:val="001630E3"/>
    <w:rsid w:val="0016415D"/>
    <w:rsid w:val="00164508"/>
    <w:rsid w:val="00165B46"/>
    <w:rsid w:val="00166EED"/>
    <w:rsid w:val="00167C9A"/>
    <w:rsid w:val="00170B9A"/>
    <w:rsid w:val="001723A2"/>
    <w:rsid w:val="00172B72"/>
    <w:rsid w:val="00174ADE"/>
    <w:rsid w:val="00175344"/>
    <w:rsid w:val="00176D71"/>
    <w:rsid w:val="00177680"/>
    <w:rsid w:val="001778FA"/>
    <w:rsid w:val="001779D6"/>
    <w:rsid w:val="001806C9"/>
    <w:rsid w:val="001813F4"/>
    <w:rsid w:val="0018142C"/>
    <w:rsid w:val="00181583"/>
    <w:rsid w:val="001816DE"/>
    <w:rsid w:val="001817CB"/>
    <w:rsid w:val="001818F2"/>
    <w:rsid w:val="00182C36"/>
    <w:rsid w:val="00182F2B"/>
    <w:rsid w:val="00183890"/>
    <w:rsid w:val="00184203"/>
    <w:rsid w:val="00184B08"/>
    <w:rsid w:val="00184F1A"/>
    <w:rsid w:val="001856F4"/>
    <w:rsid w:val="001861CA"/>
    <w:rsid w:val="001863AC"/>
    <w:rsid w:val="001877C9"/>
    <w:rsid w:val="00190606"/>
    <w:rsid w:val="00191212"/>
    <w:rsid w:val="0019131A"/>
    <w:rsid w:val="00191941"/>
    <w:rsid w:val="0019282B"/>
    <w:rsid w:val="00192A57"/>
    <w:rsid w:val="00192EDE"/>
    <w:rsid w:val="001937FE"/>
    <w:rsid w:val="00193EBE"/>
    <w:rsid w:val="001957C8"/>
    <w:rsid w:val="001957E5"/>
    <w:rsid w:val="00195DCB"/>
    <w:rsid w:val="00196E12"/>
    <w:rsid w:val="00196F43"/>
    <w:rsid w:val="001A028D"/>
    <w:rsid w:val="001A0959"/>
    <w:rsid w:val="001A103B"/>
    <w:rsid w:val="001A18A7"/>
    <w:rsid w:val="001A217D"/>
    <w:rsid w:val="001A27DD"/>
    <w:rsid w:val="001A284F"/>
    <w:rsid w:val="001A2A09"/>
    <w:rsid w:val="001A30C2"/>
    <w:rsid w:val="001A3D20"/>
    <w:rsid w:val="001A4220"/>
    <w:rsid w:val="001A44BD"/>
    <w:rsid w:val="001A49F7"/>
    <w:rsid w:val="001A50CA"/>
    <w:rsid w:val="001A5247"/>
    <w:rsid w:val="001A53CD"/>
    <w:rsid w:val="001A5D56"/>
    <w:rsid w:val="001A733F"/>
    <w:rsid w:val="001A735F"/>
    <w:rsid w:val="001A7DBD"/>
    <w:rsid w:val="001B005C"/>
    <w:rsid w:val="001B0491"/>
    <w:rsid w:val="001B2247"/>
    <w:rsid w:val="001B426A"/>
    <w:rsid w:val="001B4A74"/>
    <w:rsid w:val="001B594A"/>
    <w:rsid w:val="001B67A4"/>
    <w:rsid w:val="001B6D8C"/>
    <w:rsid w:val="001B72E3"/>
    <w:rsid w:val="001C2532"/>
    <w:rsid w:val="001C2F31"/>
    <w:rsid w:val="001C3615"/>
    <w:rsid w:val="001C36D4"/>
    <w:rsid w:val="001C4167"/>
    <w:rsid w:val="001C4B0F"/>
    <w:rsid w:val="001C51EA"/>
    <w:rsid w:val="001C55EC"/>
    <w:rsid w:val="001C643D"/>
    <w:rsid w:val="001C6911"/>
    <w:rsid w:val="001C721A"/>
    <w:rsid w:val="001C75B0"/>
    <w:rsid w:val="001C7AA3"/>
    <w:rsid w:val="001C7F8B"/>
    <w:rsid w:val="001C977E"/>
    <w:rsid w:val="001D0162"/>
    <w:rsid w:val="001D09FE"/>
    <w:rsid w:val="001D0FC9"/>
    <w:rsid w:val="001D1AAE"/>
    <w:rsid w:val="001D1EA1"/>
    <w:rsid w:val="001D290A"/>
    <w:rsid w:val="001D2EDA"/>
    <w:rsid w:val="001D5940"/>
    <w:rsid w:val="001D72F0"/>
    <w:rsid w:val="001D7C82"/>
    <w:rsid w:val="001D7C9C"/>
    <w:rsid w:val="001D7ECF"/>
    <w:rsid w:val="001E09F9"/>
    <w:rsid w:val="001E475B"/>
    <w:rsid w:val="001E4D0F"/>
    <w:rsid w:val="001E51F8"/>
    <w:rsid w:val="001E6180"/>
    <w:rsid w:val="001E6937"/>
    <w:rsid w:val="001E706C"/>
    <w:rsid w:val="001F0532"/>
    <w:rsid w:val="001F06FA"/>
    <w:rsid w:val="001F11CA"/>
    <w:rsid w:val="001F1CE1"/>
    <w:rsid w:val="001F2252"/>
    <w:rsid w:val="001F29DF"/>
    <w:rsid w:val="001F2C55"/>
    <w:rsid w:val="001F445A"/>
    <w:rsid w:val="001F4D25"/>
    <w:rsid w:val="001F4F62"/>
    <w:rsid w:val="001F53E2"/>
    <w:rsid w:val="001F53F4"/>
    <w:rsid w:val="001F54ED"/>
    <w:rsid w:val="001F6011"/>
    <w:rsid w:val="001F6C1D"/>
    <w:rsid w:val="001F6F68"/>
    <w:rsid w:val="001F7F79"/>
    <w:rsid w:val="00200E3C"/>
    <w:rsid w:val="00200FCD"/>
    <w:rsid w:val="00201A14"/>
    <w:rsid w:val="00201E56"/>
    <w:rsid w:val="0020296B"/>
    <w:rsid w:val="002029FB"/>
    <w:rsid w:val="002030B8"/>
    <w:rsid w:val="00204821"/>
    <w:rsid w:val="002048A1"/>
    <w:rsid w:val="00205DF2"/>
    <w:rsid w:val="00205E8B"/>
    <w:rsid w:val="00207130"/>
    <w:rsid w:val="002078AF"/>
    <w:rsid w:val="00207925"/>
    <w:rsid w:val="00207E20"/>
    <w:rsid w:val="00210970"/>
    <w:rsid w:val="00210988"/>
    <w:rsid w:val="00210AA7"/>
    <w:rsid w:val="0021122B"/>
    <w:rsid w:val="00211DDB"/>
    <w:rsid w:val="002135FF"/>
    <w:rsid w:val="00213C0B"/>
    <w:rsid w:val="00213F32"/>
    <w:rsid w:val="0021582B"/>
    <w:rsid w:val="00215C53"/>
    <w:rsid w:val="00216163"/>
    <w:rsid w:val="002162E9"/>
    <w:rsid w:val="002166F8"/>
    <w:rsid w:val="00216C3A"/>
    <w:rsid w:val="00217D91"/>
    <w:rsid w:val="00217FA4"/>
    <w:rsid w:val="00220990"/>
    <w:rsid w:val="00220A32"/>
    <w:rsid w:val="00221150"/>
    <w:rsid w:val="00222F80"/>
    <w:rsid w:val="002239BA"/>
    <w:rsid w:val="0022409F"/>
    <w:rsid w:val="0022449B"/>
    <w:rsid w:val="00225199"/>
    <w:rsid w:val="00226918"/>
    <w:rsid w:val="00226D76"/>
    <w:rsid w:val="00230864"/>
    <w:rsid w:val="00230EFD"/>
    <w:rsid w:val="00231321"/>
    <w:rsid w:val="0023287B"/>
    <w:rsid w:val="00232E29"/>
    <w:rsid w:val="00232EAC"/>
    <w:rsid w:val="00232F6E"/>
    <w:rsid w:val="00233C1A"/>
    <w:rsid w:val="00234EC1"/>
    <w:rsid w:val="00235867"/>
    <w:rsid w:val="0023720B"/>
    <w:rsid w:val="00237E57"/>
    <w:rsid w:val="00237F47"/>
    <w:rsid w:val="00240A42"/>
    <w:rsid w:val="002418C6"/>
    <w:rsid w:val="0024196E"/>
    <w:rsid w:val="00242F3F"/>
    <w:rsid w:val="00242FD7"/>
    <w:rsid w:val="00244475"/>
    <w:rsid w:val="00245EB1"/>
    <w:rsid w:val="002460A1"/>
    <w:rsid w:val="00246108"/>
    <w:rsid w:val="002466C4"/>
    <w:rsid w:val="00246898"/>
    <w:rsid w:val="0025040C"/>
    <w:rsid w:val="00250C15"/>
    <w:rsid w:val="0025136C"/>
    <w:rsid w:val="00252301"/>
    <w:rsid w:val="00252A70"/>
    <w:rsid w:val="002534FE"/>
    <w:rsid w:val="002535F1"/>
    <w:rsid w:val="002537C8"/>
    <w:rsid w:val="0025392B"/>
    <w:rsid w:val="00254732"/>
    <w:rsid w:val="00255856"/>
    <w:rsid w:val="002563AA"/>
    <w:rsid w:val="00257250"/>
    <w:rsid w:val="00257A23"/>
    <w:rsid w:val="00257A97"/>
    <w:rsid w:val="0026184D"/>
    <w:rsid w:val="00261F18"/>
    <w:rsid w:val="002638AF"/>
    <w:rsid w:val="00263D21"/>
    <w:rsid w:val="002645D8"/>
    <w:rsid w:val="00264AF7"/>
    <w:rsid w:val="00264CF5"/>
    <w:rsid w:val="00264DCC"/>
    <w:rsid w:val="00264E0F"/>
    <w:rsid w:val="0026558A"/>
    <w:rsid w:val="00265FCF"/>
    <w:rsid w:val="00266895"/>
    <w:rsid w:val="00270A97"/>
    <w:rsid w:val="00271CAB"/>
    <w:rsid w:val="00272AAC"/>
    <w:rsid w:val="00272D24"/>
    <w:rsid w:val="00273DD6"/>
    <w:rsid w:val="0027420A"/>
    <w:rsid w:val="002746E2"/>
    <w:rsid w:val="0027492B"/>
    <w:rsid w:val="00274BAA"/>
    <w:rsid w:val="00275AB8"/>
    <w:rsid w:val="00276003"/>
    <w:rsid w:val="00276404"/>
    <w:rsid w:val="00276D2A"/>
    <w:rsid w:val="0027782B"/>
    <w:rsid w:val="00277C62"/>
    <w:rsid w:val="002806B6"/>
    <w:rsid w:val="00280F12"/>
    <w:rsid w:val="00281AEA"/>
    <w:rsid w:val="00282620"/>
    <w:rsid w:val="0028290A"/>
    <w:rsid w:val="00282DFD"/>
    <w:rsid w:val="0028359A"/>
    <w:rsid w:val="00283DEC"/>
    <w:rsid w:val="00283FF3"/>
    <w:rsid w:val="00285005"/>
    <w:rsid w:val="0028525C"/>
    <w:rsid w:val="0028587D"/>
    <w:rsid w:val="00286567"/>
    <w:rsid w:val="00286851"/>
    <w:rsid w:val="00287646"/>
    <w:rsid w:val="002908AA"/>
    <w:rsid w:val="002908B9"/>
    <w:rsid w:val="002915D0"/>
    <w:rsid w:val="002917E0"/>
    <w:rsid w:val="00292CC1"/>
    <w:rsid w:val="00293E53"/>
    <w:rsid w:val="002956D2"/>
    <w:rsid w:val="00295DBC"/>
    <w:rsid w:val="00296898"/>
    <w:rsid w:val="00296901"/>
    <w:rsid w:val="00297A5D"/>
    <w:rsid w:val="002A03D1"/>
    <w:rsid w:val="002A0DA7"/>
    <w:rsid w:val="002A129E"/>
    <w:rsid w:val="002A167F"/>
    <w:rsid w:val="002A23E7"/>
    <w:rsid w:val="002A31B6"/>
    <w:rsid w:val="002A41C2"/>
    <w:rsid w:val="002A5192"/>
    <w:rsid w:val="002A54CF"/>
    <w:rsid w:val="002A5BD4"/>
    <w:rsid w:val="002A5BE3"/>
    <w:rsid w:val="002A6C35"/>
    <w:rsid w:val="002A7329"/>
    <w:rsid w:val="002A7339"/>
    <w:rsid w:val="002B01B0"/>
    <w:rsid w:val="002B11AB"/>
    <w:rsid w:val="002B139D"/>
    <w:rsid w:val="002B1941"/>
    <w:rsid w:val="002B1BBA"/>
    <w:rsid w:val="002B1BD6"/>
    <w:rsid w:val="002B2315"/>
    <w:rsid w:val="002B309B"/>
    <w:rsid w:val="002B4F9A"/>
    <w:rsid w:val="002B529C"/>
    <w:rsid w:val="002B5745"/>
    <w:rsid w:val="002B5BFA"/>
    <w:rsid w:val="002B6082"/>
    <w:rsid w:val="002B638E"/>
    <w:rsid w:val="002B6C36"/>
    <w:rsid w:val="002B70EB"/>
    <w:rsid w:val="002B7558"/>
    <w:rsid w:val="002C06CA"/>
    <w:rsid w:val="002C2FFE"/>
    <w:rsid w:val="002C3229"/>
    <w:rsid w:val="002C3708"/>
    <w:rsid w:val="002C54D8"/>
    <w:rsid w:val="002C58A4"/>
    <w:rsid w:val="002C5969"/>
    <w:rsid w:val="002C5EEF"/>
    <w:rsid w:val="002C7072"/>
    <w:rsid w:val="002C7545"/>
    <w:rsid w:val="002CA7D1"/>
    <w:rsid w:val="002D1535"/>
    <w:rsid w:val="002D1A19"/>
    <w:rsid w:val="002D237F"/>
    <w:rsid w:val="002D269C"/>
    <w:rsid w:val="002D44BA"/>
    <w:rsid w:val="002D4773"/>
    <w:rsid w:val="002D4805"/>
    <w:rsid w:val="002D53CE"/>
    <w:rsid w:val="002D582F"/>
    <w:rsid w:val="002D5CF2"/>
    <w:rsid w:val="002D5DB7"/>
    <w:rsid w:val="002D5FD1"/>
    <w:rsid w:val="002D6D18"/>
    <w:rsid w:val="002D7017"/>
    <w:rsid w:val="002E009C"/>
    <w:rsid w:val="002E025D"/>
    <w:rsid w:val="002E0985"/>
    <w:rsid w:val="002E0B23"/>
    <w:rsid w:val="002E0C05"/>
    <w:rsid w:val="002E165A"/>
    <w:rsid w:val="002E1782"/>
    <w:rsid w:val="002E2644"/>
    <w:rsid w:val="002E3022"/>
    <w:rsid w:val="002E40B3"/>
    <w:rsid w:val="002E46F0"/>
    <w:rsid w:val="002E46FA"/>
    <w:rsid w:val="002E62BF"/>
    <w:rsid w:val="002E66FE"/>
    <w:rsid w:val="002E6F8E"/>
    <w:rsid w:val="002E7287"/>
    <w:rsid w:val="002E777B"/>
    <w:rsid w:val="002E7AD0"/>
    <w:rsid w:val="002E7F6F"/>
    <w:rsid w:val="002F05FF"/>
    <w:rsid w:val="002F0C9A"/>
    <w:rsid w:val="002F1034"/>
    <w:rsid w:val="002F38B8"/>
    <w:rsid w:val="002F5058"/>
    <w:rsid w:val="002F514C"/>
    <w:rsid w:val="002F60A3"/>
    <w:rsid w:val="002F6437"/>
    <w:rsid w:val="002F6984"/>
    <w:rsid w:val="00300FD0"/>
    <w:rsid w:val="003022F3"/>
    <w:rsid w:val="003023BC"/>
    <w:rsid w:val="00302FA7"/>
    <w:rsid w:val="003034AD"/>
    <w:rsid w:val="003037EE"/>
    <w:rsid w:val="00304104"/>
    <w:rsid w:val="00304743"/>
    <w:rsid w:val="00304D18"/>
    <w:rsid w:val="00304F05"/>
    <w:rsid w:val="003050FB"/>
    <w:rsid w:val="00305801"/>
    <w:rsid w:val="00307183"/>
    <w:rsid w:val="00307CCA"/>
    <w:rsid w:val="003101B4"/>
    <w:rsid w:val="00311FCC"/>
    <w:rsid w:val="003126DC"/>
    <w:rsid w:val="00313212"/>
    <w:rsid w:val="00313214"/>
    <w:rsid w:val="0031489E"/>
    <w:rsid w:val="00314F84"/>
    <w:rsid w:val="003178D5"/>
    <w:rsid w:val="00321287"/>
    <w:rsid w:val="00321866"/>
    <w:rsid w:val="00321D35"/>
    <w:rsid w:val="00322198"/>
    <w:rsid w:val="00322EF9"/>
    <w:rsid w:val="00323D5C"/>
    <w:rsid w:val="00324FE7"/>
    <w:rsid w:val="00325923"/>
    <w:rsid w:val="00327AB5"/>
    <w:rsid w:val="00327DE3"/>
    <w:rsid w:val="00330CB1"/>
    <w:rsid w:val="00330DAB"/>
    <w:rsid w:val="0033107E"/>
    <w:rsid w:val="00332433"/>
    <w:rsid w:val="003326E9"/>
    <w:rsid w:val="00332F92"/>
    <w:rsid w:val="003341EB"/>
    <w:rsid w:val="00334541"/>
    <w:rsid w:val="00336837"/>
    <w:rsid w:val="003375CA"/>
    <w:rsid w:val="00340871"/>
    <w:rsid w:val="00341754"/>
    <w:rsid w:val="00343414"/>
    <w:rsid w:val="003434C8"/>
    <w:rsid w:val="00343AAC"/>
    <w:rsid w:val="003441BF"/>
    <w:rsid w:val="003444FD"/>
    <w:rsid w:val="0034462C"/>
    <w:rsid w:val="00344631"/>
    <w:rsid w:val="00344C4B"/>
    <w:rsid w:val="00344F31"/>
    <w:rsid w:val="00345C85"/>
    <w:rsid w:val="00346037"/>
    <w:rsid w:val="003466D9"/>
    <w:rsid w:val="00346B52"/>
    <w:rsid w:val="00346CD3"/>
    <w:rsid w:val="00347A0E"/>
    <w:rsid w:val="003508F9"/>
    <w:rsid w:val="00351616"/>
    <w:rsid w:val="00351B89"/>
    <w:rsid w:val="003521A2"/>
    <w:rsid w:val="00352459"/>
    <w:rsid w:val="00352978"/>
    <w:rsid w:val="00352ED9"/>
    <w:rsid w:val="00353888"/>
    <w:rsid w:val="00354337"/>
    <w:rsid w:val="003555D7"/>
    <w:rsid w:val="0035577D"/>
    <w:rsid w:val="00356C2D"/>
    <w:rsid w:val="00357FA5"/>
    <w:rsid w:val="003600D8"/>
    <w:rsid w:val="003603EB"/>
    <w:rsid w:val="003607C6"/>
    <w:rsid w:val="00360B24"/>
    <w:rsid w:val="00360C20"/>
    <w:rsid w:val="00361586"/>
    <w:rsid w:val="00362A6B"/>
    <w:rsid w:val="00363646"/>
    <w:rsid w:val="0036369F"/>
    <w:rsid w:val="00363AC2"/>
    <w:rsid w:val="00363E93"/>
    <w:rsid w:val="00366408"/>
    <w:rsid w:val="00366570"/>
    <w:rsid w:val="00366AFC"/>
    <w:rsid w:val="003672CA"/>
    <w:rsid w:val="00367567"/>
    <w:rsid w:val="00371061"/>
    <w:rsid w:val="00372F12"/>
    <w:rsid w:val="003738D2"/>
    <w:rsid w:val="0037475B"/>
    <w:rsid w:val="00374D93"/>
    <w:rsid w:val="00374F98"/>
    <w:rsid w:val="00374FD0"/>
    <w:rsid w:val="00375570"/>
    <w:rsid w:val="00376C19"/>
    <w:rsid w:val="003801F5"/>
    <w:rsid w:val="00380BC3"/>
    <w:rsid w:val="0038171D"/>
    <w:rsid w:val="003819DB"/>
    <w:rsid w:val="00381F1A"/>
    <w:rsid w:val="0038202C"/>
    <w:rsid w:val="0038227B"/>
    <w:rsid w:val="003827D8"/>
    <w:rsid w:val="00382CE9"/>
    <w:rsid w:val="00382F0B"/>
    <w:rsid w:val="003833F0"/>
    <w:rsid w:val="00383C7B"/>
    <w:rsid w:val="00383D94"/>
    <w:rsid w:val="0038432E"/>
    <w:rsid w:val="00384F23"/>
    <w:rsid w:val="0038531F"/>
    <w:rsid w:val="00385DA7"/>
    <w:rsid w:val="0038696C"/>
    <w:rsid w:val="00386CCF"/>
    <w:rsid w:val="00386E15"/>
    <w:rsid w:val="00387090"/>
    <w:rsid w:val="0038770E"/>
    <w:rsid w:val="003906DA"/>
    <w:rsid w:val="00390BD5"/>
    <w:rsid w:val="003915F7"/>
    <w:rsid w:val="0039372D"/>
    <w:rsid w:val="0039462E"/>
    <w:rsid w:val="00395F86"/>
    <w:rsid w:val="0039642A"/>
    <w:rsid w:val="00396805"/>
    <w:rsid w:val="00397389"/>
    <w:rsid w:val="003974B7"/>
    <w:rsid w:val="0039757C"/>
    <w:rsid w:val="003978AE"/>
    <w:rsid w:val="003A0890"/>
    <w:rsid w:val="003A1988"/>
    <w:rsid w:val="003A19FC"/>
    <w:rsid w:val="003A2AD3"/>
    <w:rsid w:val="003A3B2F"/>
    <w:rsid w:val="003A3BD9"/>
    <w:rsid w:val="003A4C58"/>
    <w:rsid w:val="003A4FFB"/>
    <w:rsid w:val="003A5185"/>
    <w:rsid w:val="003A5A8A"/>
    <w:rsid w:val="003A5B17"/>
    <w:rsid w:val="003A6F41"/>
    <w:rsid w:val="003A7B45"/>
    <w:rsid w:val="003B033F"/>
    <w:rsid w:val="003B0A45"/>
    <w:rsid w:val="003B0BE0"/>
    <w:rsid w:val="003B0CDD"/>
    <w:rsid w:val="003B178D"/>
    <w:rsid w:val="003B24AA"/>
    <w:rsid w:val="003B2D14"/>
    <w:rsid w:val="003B3F5C"/>
    <w:rsid w:val="003B47B1"/>
    <w:rsid w:val="003B5AFD"/>
    <w:rsid w:val="003B6963"/>
    <w:rsid w:val="003B6D50"/>
    <w:rsid w:val="003B734F"/>
    <w:rsid w:val="003B7667"/>
    <w:rsid w:val="003B7980"/>
    <w:rsid w:val="003B79F9"/>
    <w:rsid w:val="003B7E44"/>
    <w:rsid w:val="003C046C"/>
    <w:rsid w:val="003C0AA2"/>
    <w:rsid w:val="003C0D73"/>
    <w:rsid w:val="003C0DDE"/>
    <w:rsid w:val="003C1CC8"/>
    <w:rsid w:val="003C2838"/>
    <w:rsid w:val="003C3460"/>
    <w:rsid w:val="003C34DA"/>
    <w:rsid w:val="003C3B5E"/>
    <w:rsid w:val="003C41C5"/>
    <w:rsid w:val="003C570D"/>
    <w:rsid w:val="003C58A7"/>
    <w:rsid w:val="003C5A15"/>
    <w:rsid w:val="003C7334"/>
    <w:rsid w:val="003C7712"/>
    <w:rsid w:val="003D165A"/>
    <w:rsid w:val="003D3082"/>
    <w:rsid w:val="003D42B1"/>
    <w:rsid w:val="003D6023"/>
    <w:rsid w:val="003D62E0"/>
    <w:rsid w:val="003D6876"/>
    <w:rsid w:val="003D7931"/>
    <w:rsid w:val="003D7F45"/>
    <w:rsid w:val="003E0700"/>
    <w:rsid w:val="003E0742"/>
    <w:rsid w:val="003E0746"/>
    <w:rsid w:val="003E0A57"/>
    <w:rsid w:val="003E11AC"/>
    <w:rsid w:val="003E1CB0"/>
    <w:rsid w:val="003E1E2D"/>
    <w:rsid w:val="003E1F84"/>
    <w:rsid w:val="003E2263"/>
    <w:rsid w:val="003E30FF"/>
    <w:rsid w:val="003E31A0"/>
    <w:rsid w:val="003E43E4"/>
    <w:rsid w:val="003E4FA3"/>
    <w:rsid w:val="003E6848"/>
    <w:rsid w:val="003E69BA"/>
    <w:rsid w:val="003F214E"/>
    <w:rsid w:val="003F2622"/>
    <w:rsid w:val="003F262B"/>
    <w:rsid w:val="003F2922"/>
    <w:rsid w:val="003F2DE6"/>
    <w:rsid w:val="003F2E13"/>
    <w:rsid w:val="003F3114"/>
    <w:rsid w:val="003F386F"/>
    <w:rsid w:val="003F3AE2"/>
    <w:rsid w:val="003F3D7A"/>
    <w:rsid w:val="003F686F"/>
    <w:rsid w:val="003F6DF1"/>
    <w:rsid w:val="004000F5"/>
    <w:rsid w:val="004006F2"/>
    <w:rsid w:val="004013AE"/>
    <w:rsid w:val="004016B0"/>
    <w:rsid w:val="00401C06"/>
    <w:rsid w:val="00401D7A"/>
    <w:rsid w:val="00403E8F"/>
    <w:rsid w:val="00404C15"/>
    <w:rsid w:val="00404D91"/>
    <w:rsid w:val="00404F5E"/>
    <w:rsid w:val="0040552F"/>
    <w:rsid w:val="00406024"/>
    <w:rsid w:val="00406E77"/>
    <w:rsid w:val="004074EE"/>
    <w:rsid w:val="00411083"/>
    <w:rsid w:val="0041222B"/>
    <w:rsid w:val="004127A7"/>
    <w:rsid w:val="004128F7"/>
    <w:rsid w:val="00412C92"/>
    <w:rsid w:val="00413627"/>
    <w:rsid w:val="00413A88"/>
    <w:rsid w:val="00416B68"/>
    <w:rsid w:val="004204C0"/>
    <w:rsid w:val="004205D1"/>
    <w:rsid w:val="00420704"/>
    <w:rsid w:val="004215FC"/>
    <w:rsid w:val="004241AD"/>
    <w:rsid w:val="00424B73"/>
    <w:rsid w:val="00425C56"/>
    <w:rsid w:val="0042663D"/>
    <w:rsid w:val="00426FDC"/>
    <w:rsid w:val="00427544"/>
    <w:rsid w:val="004277EF"/>
    <w:rsid w:val="00427F61"/>
    <w:rsid w:val="004304E0"/>
    <w:rsid w:val="00430B2F"/>
    <w:rsid w:val="00431F58"/>
    <w:rsid w:val="00432512"/>
    <w:rsid w:val="00432CB7"/>
    <w:rsid w:val="004331A5"/>
    <w:rsid w:val="0043350E"/>
    <w:rsid w:val="00434112"/>
    <w:rsid w:val="00434314"/>
    <w:rsid w:val="00434804"/>
    <w:rsid w:val="0043517E"/>
    <w:rsid w:val="00435450"/>
    <w:rsid w:val="00435C18"/>
    <w:rsid w:val="00436100"/>
    <w:rsid w:val="0043667A"/>
    <w:rsid w:val="0043689F"/>
    <w:rsid w:val="00436EE9"/>
    <w:rsid w:val="00437905"/>
    <w:rsid w:val="004404F3"/>
    <w:rsid w:val="00440951"/>
    <w:rsid w:val="004416A7"/>
    <w:rsid w:val="00441E57"/>
    <w:rsid w:val="0044219F"/>
    <w:rsid w:val="00442F37"/>
    <w:rsid w:val="00443B99"/>
    <w:rsid w:val="00444AEE"/>
    <w:rsid w:val="00445879"/>
    <w:rsid w:val="00445A9B"/>
    <w:rsid w:val="0044619A"/>
    <w:rsid w:val="00446BAB"/>
    <w:rsid w:val="00446C07"/>
    <w:rsid w:val="00446E7E"/>
    <w:rsid w:val="00447863"/>
    <w:rsid w:val="00450AF5"/>
    <w:rsid w:val="0045226B"/>
    <w:rsid w:val="00452270"/>
    <w:rsid w:val="00452604"/>
    <w:rsid w:val="00452643"/>
    <w:rsid w:val="0045303F"/>
    <w:rsid w:val="004538D8"/>
    <w:rsid w:val="004540DF"/>
    <w:rsid w:val="0045458C"/>
    <w:rsid w:val="004552CE"/>
    <w:rsid w:val="0045532B"/>
    <w:rsid w:val="00455736"/>
    <w:rsid w:val="0045600C"/>
    <w:rsid w:val="00456F26"/>
    <w:rsid w:val="00457280"/>
    <w:rsid w:val="00457401"/>
    <w:rsid w:val="00457CB2"/>
    <w:rsid w:val="0046145F"/>
    <w:rsid w:val="00461C4D"/>
    <w:rsid w:val="00461C90"/>
    <w:rsid w:val="00462BAD"/>
    <w:rsid w:val="004634C0"/>
    <w:rsid w:val="004640B4"/>
    <w:rsid w:val="0046506D"/>
    <w:rsid w:val="004657E4"/>
    <w:rsid w:val="00465875"/>
    <w:rsid w:val="004659DE"/>
    <w:rsid w:val="0046748D"/>
    <w:rsid w:val="0046773B"/>
    <w:rsid w:val="00467AB1"/>
    <w:rsid w:val="00470119"/>
    <w:rsid w:val="004706B9"/>
    <w:rsid w:val="0047153D"/>
    <w:rsid w:val="004719FC"/>
    <w:rsid w:val="00471AF7"/>
    <w:rsid w:val="00471DEE"/>
    <w:rsid w:val="00471FEE"/>
    <w:rsid w:val="00472039"/>
    <w:rsid w:val="00473107"/>
    <w:rsid w:val="00474E7B"/>
    <w:rsid w:val="00474EDB"/>
    <w:rsid w:val="00474F9E"/>
    <w:rsid w:val="0047651C"/>
    <w:rsid w:val="00477446"/>
    <w:rsid w:val="004777E8"/>
    <w:rsid w:val="00480F51"/>
    <w:rsid w:val="00481535"/>
    <w:rsid w:val="00481BAA"/>
    <w:rsid w:val="00482221"/>
    <w:rsid w:val="00482839"/>
    <w:rsid w:val="004829B0"/>
    <w:rsid w:val="00482C1A"/>
    <w:rsid w:val="004837E8"/>
    <w:rsid w:val="00483A46"/>
    <w:rsid w:val="00483CAD"/>
    <w:rsid w:val="0048482A"/>
    <w:rsid w:val="004859D7"/>
    <w:rsid w:val="0049040F"/>
    <w:rsid w:val="00490E3A"/>
    <w:rsid w:val="004918CB"/>
    <w:rsid w:val="00491B41"/>
    <w:rsid w:val="004925D9"/>
    <w:rsid w:val="00492C35"/>
    <w:rsid w:val="00493142"/>
    <w:rsid w:val="00493320"/>
    <w:rsid w:val="00493768"/>
    <w:rsid w:val="0049403D"/>
    <w:rsid w:val="004952AB"/>
    <w:rsid w:val="00495E22"/>
    <w:rsid w:val="00497E6D"/>
    <w:rsid w:val="004A1003"/>
    <w:rsid w:val="004A2586"/>
    <w:rsid w:val="004A3A09"/>
    <w:rsid w:val="004A40DF"/>
    <w:rsid w:val="004A4994"/>
    <w:rsid w:val="004A5010"/>
    <w:rsid w:val="004A5C47"/>
    <w:rsid w:val="004A5EE9"/>
    <w:rsid w:val="004A6CED"/>
    <w:rsid w:val="004A6F73"/>
    <w:rsid w:val="004B07A1"/>
    <w:rsid w:val="004B13F9"/>
    <w:rsid w:val="004B27FC"/>
    <w:rsid w:val="004B3BD4"/>
    <w:rsid w:val="004B65C2"/>
    <w:rsid w:val="004B690D"/>
    <w:rsid w:val="004B6D31"/>
    <w:rsid w:val="004B7024"/>
    <w:rsid w:val="004B7C46"/>
    <w:rsid w:val="004C0161"/>
    <w:rsid w:val="004C0E0F"/>
    <w:rsid w:val="004C1111"/>
    <w:rsid w:val="004C1DED"/>
    <w:rsid w:val="004C1FE3"/>
    <w:rsid w:val="004C2C2B"/>
    <w:rsid w:val="004C3BB2"/>
    <w:rsid w:val="004C4978"/>
    <w:rsid w:val="004C4A78"/>
    <w:rsid w:val="004C4F5A"/>
    <w:rsid w:val="004C53F6"/>
    <w:rsid w:val="004C5415"/>
    <w:rsid w:val="004C58E0"/>
    <w:rsid w:val="004C7A8B"/>
    <w:rsid w:val="004D0138"/>
    <w:rsid w:val="004D07ED"/>
    <w:rsid w:val="004D0D8A"/>
    <w:rsid w:val="004D1E78"/>
    <w:rsid w:val="004D27A9"/>
    <w:rsid w:val="004D28C9"/>
    <w:rsid w:val="004D2E42"/>
    <w:rsid w:val="004D3253"/>
    <w:rsid w:val="004D5DB8"/>
    <w:rsid w:val="004D6F1A"/>
    <w:rsid w:val="004D723B"/>
    <w:rsid w:val="004D7C2F"/>
    <w:rsid w:val="004E026B"/>
    <w:rsid w:val="004E062D"/>
    <w:rsid w:val="004E1BC6"/>
    <w:rsid w:val="004E1C2F"/>
    <w:rsid w:val="004E23F3"/>
    <w:rsid w:val="004E24B2"/>
    <w:rsid w:val="004E2DD4"/>
    <w:rsid w:val="004E34B9"/>
    <w:rsid w:val="004E4EA2"/>
    <w:rsid w:val="004E6228"/>
    <w:rsid w:val="004E6612"/>
    <w:rsid w:val="004E7393"/>
    <w:rsid w:val="004F2411"/>
    <w:rsid w:val="004F2AEE"/>
    <w:rsid w:val="004F4698"/>
    <w:rsid w:val="004F5365"/>
    <w:rsid w:val="004F5708"/>
    <w:rsid w:val="004F5A4F"/>
    <w:rsid w:val="004F614D"/>
    <w:rsid w:val="004F641D"/>
    <w:rsid w:val="004F6443"/>
    <w:rsid w:val="004F7C14"/>
    <w:rsid w:val="004F7C77"/>
    <w:rsid w:val="00500188"/>
    <w:rsid w:val="00500BE1"/>
    <w:rsid w:val="0050167B"/>
    <w:rsid w:val="00501A9C"/>
    <w:rsid w:val="005024D0"/>
    <w:rsid w:val="0050298E"/>
    <w:rsid w:val="00502ECD"/>
    <w:rsid w:val="005034F1"/>
    <w:rsid w:val="00503DC1"/>
    <w:rsid w:val="0050483D"/>
    <w:rsid w:val="0050498E"/>
    <w:rsid w:val="005049FC"/>
    <w:rsid w:val="005052DC"/>
    <w:rsid w:val="00506211"/>
    <w:rsid w:val="00506676"/>
    <w:rsid w:val="005069EF"/>
    <w:rsid w:val="005074E0"/>
    <w:rsid w:val="00510653"/>
    <w:rsid w:val="005112F0"/>
    <w:rsid w:val="00511E4B"/>
    <w:rsid w:val="00512203"/>
    <w:rsid w:val="00512FE8"/>
    <w:rsid w:val="005138AC"/>
    <w:rsid w:val="00514E70"/>
    <w:rsid w:val="005166DA"/>
    <w:rsid w:val="0051676E"/>
    <w:rsid w:val="00516E7B"/>
    <w:rsid w:val="00516EB1"/>
    <w:rsid w:val="005170DF"/>
    <w:rsid w:val="0052254D"/>
    <w:rsid w:val="00523420"/>
    <w:rsid w:val="00523865"/>
    <w:rsid w:val="00524220"/>
    <w:rsid w:val="005251A5"/>
    <w:rsid w:val="0052549F"/>
    <w:rsid w:val="00525791"/>
    <w:rsid w:val="0052682C"/>
    <w:rsid w:val="00527C23"/>
    <w:rsid w:val="00527FA4"/>
    <w:rsid w:val="005308DE"/>
    <w:rsid w:val="00530999"/>
    <w:rsid w:val="00530D04"/>
    <w:rsid w:val="00530EB1"/>
    <w:rsid w:val="00531958"/>
    <w:rsid w:val="0053235E"/>
    <w:rsid w:val="00532973"/>
    <w:rsid w:val="00532983"/>
    <w:rsid w:val="00533064"/>
    <w:rsid w:val="00533394"/>
    <w:rsid w:val="0053415A"/>
    <w:rsid w:val="00534820"/>
    <w:rsid w:val="005357BC"/>
    <w:rsid w:val="00536486"/>
    <w:rsid w:val="0053675E"/>
    <w:rsid w:val="005375CC"/>
    <w:rsid w:val="0053791D"/>
    <w:rsid w:val="00537B8B"/>
    <w:rsid w:val="00540CF9"/>
    <w:rsid w:val="00540E74"/>
    <w:rsid w:val="00540F3E"/>
    <w:rsid w:val="00543638"/>
    <w:rsid w:val="00544666"/>
    <w:rsid w:val="00544D9A"/>
    <w:rsid w:val="0054511F"/>
    <w:rsid w:val="00545199"/>
    <w:rsid w:val="00546797"/>
    <w:rsid w:val="005471D0"/>
    <w:rsid w:val="00550995"/>
    <w:rsid w:val="00550C00"/>
    <w:rsid w:val="0055124A"/>
    <w:rsid w:val="005517EB"/>
    <w:rsid w:val="00551DC3"/>
    <w:rsid w:val="00551F62"/>
    <w:rsid w:val="0055288E"/>
    <w:rsid w:val="005533DB"/>
    <w:rsid w:val="005536A7"/>
    <w:rsid w:val="00553B37"/>
    <w:rsid w:val="00553C2C"/>
    <w:rsid w:val="00553F45"/>
    <w:rsid w:val="00554B2C"/>
    <w:rsid w:val="00554BA9"/>
    <w:rsid w:val="0055527F"/>
    <w:rsid w:val="00556516"/>
    <w:rsid w:val="0055689B"/>
    <w:rsid w:val="00556C3B"/>
    <w:rsid w:val="005571A1"/>
    <w:rsid w:val="00557455"/>
    <w:rsid w:val="00560591"/>
    <w:rsid w:val="00560AA4"/>
    <w:rsid w:val="00560F3D"/>
    <w:rsid w:val="00561786"/>
    <w:rsid w:val="005624FE"/>
    <w:rsid w:val="00562737"/>
    <w:rsid w:val="005636B0"/>
    <w:rsid w:val="00563915"/>
    <w:rsid w:val="00564080"/>
    <w:rsid w:val="00565242"/>
    <w:rsid w:val="00566BAE"/>
    <w:rsid w:val="0056713A"/>
    <w:rsid w:val="005671DF"/>
    <w:rsid w:val="00567554"/>
    <w:rsid w:val="0057038F"/>
    <w:rsid w:val="00570623"/>
    <w:rsid w:val="00570C6E"/>
    <w:rsid w:val="00570DE8"/>
    <w:rsid w:val="00571081"/>
    <w:rsid w:val="00571AF2"/>
    <w:rsid w:val="00572B32"/>
    <w:rsid w:val="00573310"/>
    <w:rsid w:val="00573862"/>
    <w:rsid w:val="0057471B"/>
    <w:rsid w:val="005749DD"/>
    <w:rsid w:val="00574AC6"/>
    <w:rsid w:val="0057517F"/>
    <w:rsid w:val="00575256"/>
    <w:rsid w:val="00575B1E"/>
    <w:rsid w:val="0057614A"/>
    <w:rsid w:val="005774C3"/>
    <w:rsid w:val="005779B6"/>
    <w:rsid w:val="00577EA6"/>
    <w:rsid w:val="005800E9"/>
    <w:rsid w:val="005804BC"/>
    <w:rsid w:val="005806C3"/>
    <w:rsid w:val="005812FB"/>
    <w:rsid w:val="0058133D"/>
    <w:rsid w:val="005814B6"/>
    <w:rsid w:val="00581D9D"/>
    <w:rsid w:val="00581EDB"/>
    <w:rsid w:val="00581F64"/>
    <w:rsid w:val="00582419"/>
    <w:rsid w:val="005826F5"/>
    <w:rsid w:val="00582732"/>
    <w:rsid w:val="005836E3"/>
    <w:rsid w:val="00583DCA"/>
    <w:rsid w:val="00584094"/>
    <w:rsid w:val="005842B6"/>
    <w:rsid w:val="0058488A"/>
    <w:rsid w:val="00585190"/>
    <w:rsid w:val="005852E1"/>
    <w:rsid w:val="005872A6"/>
    <w:rsid w:val="0058770F"/>
    <w:rsid w:val="00587BF3"/>
    <w:rsid w:val="00591647"/>
    <w:rsid w:val="00591901"/>
    <w:rsid w:val="00591929"/>
    <w:rsid w:val="00592043"/>
    <w:rsid w:val="0059206D"/>
    <w:rsid w:val="00592101"/>
    <w:rsid w:val="005940C3"/>
    <w:rsid w:val="00594654"/>
    <w:rsid w:val="005974B2"/>
    <w:rsid w:val="00597FC8"/>
    <w:rsid w:val="005A0FBE"/>
    <w:rsid w:val="005A14B0"/>
    <w:rsid w:val="005A1B76"/>
    <w:rsid w:val="005A1E82"/>
    <w:rsid w:val="005A2446"/>
    <w:rsid w:val="005A2ED5"/>
    <w:rsid w:val="005A3062"/>
    <w:rsid w:val="005A338D"/>
    <w:rsid w:val="005A3C45"/>
    <w:rsid w:val="005A3FDB"/>
    <w:rsid w:val="005A4AF6"/>
    <w:rsid w:val="005A6595"/>
    <w:rsid w:val="005A6800"/>
    <w:rsid w:val="005A7060"/>
    <w:rsid w:val="005B04BD"/>
    <w:rsid w:val="005B0756"/>
    <w:rsid w:val="005B13E6"/>
    <w:rsid w:val="005B1775"/>
    <w:rsid w:val="005B1A84"/>
    <w:rsid w:val="005B3EA4"/>
    <w:rsid w:val="005B4740"/>
    <w:rsid w:val="005B4841"/>
    <w:rsid w:val="005B4A04"/>
    <w:rsid w:val="005B4DD9"/>
    <w:rsid w:val="005B6302"/>
    <w:rsid w:val="005B662F"/>
    <w:rsid w:val="005B7294"/>
    <w:rsid w:val="005B7839"/>
    <w:rsid w:val="005B78FE"/>
    <w:rsid w:val="005B7F73"/>
    <w:rsid w:val="005B7F85"/>
    <w:rsid w:val="005C0075"/>
    <w:rsid w:val="005C0C0A"/>
    <w:rsid w:val="005C13A5"/>
    <w:rsid w:val="005C15D8"/>
    <w:rsid w:val="005C2A7F"/>
    <w:rsid w:val="005C3317"/>
    <w:rsid w:val="005C3657"/>
    <w:rsid w:val="005C3663"/>
    <w:rsid w:val="005C3D0B"/>
    <w:rsid w:val="005C3D2F"/>
    <w:rsid w:val="005C3F0E"/>
    <w:rsid w:val="005C4199"/>
    <w:rsid w:val="005C4538"/>
    <w:rsid w:val="005C48C9"/>
    <w:rsid w:val="005C64B6"/>
    <w:rsid w:val="005C658D"/>
    <w:rsid w:val="005C65F6"/>
    <w:rsid w:val="005C66BB"/>
    <w:rsid w:val="005C6C47"/>
    <w:rsid w:val="005C7401"/>
    <w:rsid w:val="005C749F"/>
    <w:rsid w:val="005C7A4C"/>
    <w:rsid w:val="005C7A5E"/>
    <w:rsid w:val="005C7D3D"/>
    <w:rsid w:val="005D008F"/>
    <w:rsid w:val="005D166C"/>
    <w:rsid w:val="005D2037"/>
    <w:rsid w:val="005D2405"/>
    <w:rsid w:val="005D25DE"/>
    <w:rsid w:val="005D2E7D"/>
    <w:rsid w:val="005D2F3F"/>
    <w:rsid w:val="005D2F42"/>
    <w:rsid w:val="005D3A3E"/>
    <w:rsid w:val="005D4DC9"/>
    <w:rsid w:val="005D60BD"/>
    <w:rsid w:val="005D6956"/>
    <w:rsid w:val="005D72F1"/>
    <w:rsid w:val="005D780A"/>
    <w:rsid w:val="005E0110"/>
    <w:rsid w:val="005E01BD"/>
    <w:rsid w:val="005E0263"/>
    <w:rsid w:val="005E04B6"/>
    <w:rsid w:val="005E0991"/>
    <w:rsid w:val="005E0D18"/>
    <w:rsid w:val="005E1310"/>
    <w:rsid w:val="005E263E"/>
    <w:rsid w:val="005E2FD9"/>
    <w:rsid w:val="005E4DD7"/>
    <w:rsid w:val="005E53C2"/>
    <w:rsid w:val="005E61CD"/>
    <w:rsid w:val="005E6D92"/>
    <w:rsid w:val="005E6ED5"/>
    <w:rsid w:val="005E7A6E"/>
    <w:rsid w:val="005E7E69"/>
    <w:rsid w:val="005E7F17"/>
    <w:rsid w:val="005F0901"/>
    <w:rsid w:val="005F122D"/>
    <w:rsid w:val="005F24E6"/>
    <w:rsid w:val="005F258A"/>
    <w:rsid w:val="005F3825"/>
    <w:rsid w:val="005F4AB3"/>
    <w:rsid w:val="005F5520"/>
    <w:rsid w:val="005F5B14"/>
    <w:rsid w:val="005F6385"/>
    <w:rsid w:val="005F662F"/>
    <w:rsid w:val="005F66E0"/>
    <w:rsid w:val="005F7D0D"/>
    <w:rsid w:val="005F7EA6"/>
    <w:rsid w:val="0060018F"/>
    <w:rsid w:val="00601EBC"/>
    <w:rsid w:val="00602836"/>
    <w:rsid w:val="00603226"/>
    <w:rsid w:val="00603AEE"/>
    <w:rsid w:val="00603D9C"/>
    <w:rsid w:val="006041C0"/>
    <w:rsid w:val="00605FDD"/>
    <w:rsid w:val="00606553"/>
    <w:rsid w:val="006066BA"/>
    <w:rsid w:val="00607518"/>
    <w:rsid w:val="00607F57"/>
    <w:rsid w:val="006103D9"/>
    <w:rsid w:val="00610C24"/>
    <w:rsid w:val="00610CB5"/>
    <w:rsid w:val="0061216B"/>
    <w:rsid w:val="00612413"/>
    <w:rsid w:val="006125C7"/>
    <w:rsid w:val="00612767"/>
    <w:rsid w:val="00612E50"/>
    <w:rsid w:val="0061373B"/>
    <w:rsid w:val="00613AC5"/>
    <w:rsid w:val="006145CF"/>
    <w:rsid w:val="00615259"/>
    <w:rsid w:val="006161EC"/>
    <w:rsid w:val="0061737F"/>
    <w:rsid w:val="00620831"/>
    <w:rsid w:val="0062344A"/>
    <w:rsid w:val="00623C02"/>
    <w:rsid w:val="006254B2"/>
    <w:rsid w:val="006303A3"/>
    <w:rsid w:val="00630AF9"/>
    <w:rsid w:val="00630D72"/>
    <w:rsid w:val="00630E52"/>
    <w:rsid w:val="006318B3"/>
    <w:rsid w:val="006320B2"/>
    <w:rsid w:val="006327F4"/>
    <w:rsid w:val="00632966"/>
    <w:rsid w:val="00632CB6"/>
    <w:rsid w:val="0063331F"/>
    <w:rsid w:val="00633413"/>
    <w:rsid w:val="00634C91"/>
    <w:rsid w:val="00634E50"/>
    <w:rsid w:val="00636105"/>
    <w:rsid w:val="00637E87"/>
    <w:rsid w:val="00640C67"/>
    <w:rsid w:val="00641806"/>
    <w:rsid w:val="006424D3"/>
    <w:rsid w:val="00642B51"/>
    <w:rsid w:val="00642E18"/>
    <w:rsid w:val="0064351B"/>
    <w:rsid w:val="00644800"/>
    <w:rsid w:val="006454DE"/>
    <w:rsid w:val="00645C08"/>
    <w:rsid w:val="00645D09"/>
    <w:rsid w:val="00646107"/>
    <w:rsid w:val="006461AE"/>
    <w:rsid w:val="006461FD"/>
    <w:rsid w:val="00646EF9"/>
    <w:rsid w:val="006471EF"/>
    <w:rsid w:val="00650E4C"/>
    <w:rsid w:val="00651E61"/>
    <w:rsid w:val="00651E75"/>
    <w:rsid w:val="006526F7"/>
    <w:rsid w:val="00652F7B"/>
    <w:rsid w:val="006535B6"/>
    <w:rsid w:val="006558AE"/>
    <w:rsid w:val="00655A50"/>
    <w:rsid w:val="00655FE9"/>
    <w:rsid w:val="006565EE"/>
    <w:rsid w:val="0066041C"/>
    <w:rsid w:val="00660490"/>
    <w:rsid w:val="006607F3"/>
    <w:rsid w:val="006609F9"/>
    <w:rsid w:val="00660C38"/>
    <w:rsid w:val="006619FE"/>
    <w:rsid w:val="00661E79"/>
    <w:rsid w:val="00662152"/>
    <w:rsid w:val="00662253"/>
    <w:rsid w:val="00664747"/>
    <w:rsid w:val="006649DF"/>
    <w:rsid w:val="00665466"/>
    <w:rsid w:val="00665BAF"/>
    <w:rsid w:val="0066637C"/>
    <w:rsid w:val="006667F8"/>
    <w:rsid w:val="00667351"/>
    <w:rsid w:val="00667D4C"/>
    <w:rsid w:val="0067072C"/>
    <w:rsid w:val="0067378F"/>
    <w:rsid w:val="00674ED0"/>
    <w:rsid w:val="006751C6"/>
    <w:rsid w:val="00675E22"/>
    <w:rsid w:val="0067616A"/>
    <w:rsid w:val="006806FE"/>
    <w:rsid w:val="00680A61"/>
    <w:rsid w:val="00680E9E"/>
    <w:rsid w:val="00681D8E"/>
    <w:rsid w:val="00682020"/>
    <w:rsid w:val="00682159"/>
    <w:rsid w:val="00683AA4"/>
    <w:rsid w:val="00686229"/>
    <w:rsid w:val="0068690D"/>
    <w:rsid w:val="006902C2"/>
    <w:rsid w:val="00690A93"/>
    <w:rsid w:val="006921BB"/>
    <w:rsid w:val="006929F0"/>
    <w:rsid w:val="00693FD9"/>
    <w:rsid w:val="00695A4D"/>
    <w:rsid w:val="0069629A"/>
    <w:rsid w:val="00697242"/>
    <w:rsid w:val="00697FA1"/>
    <w:rsid w:val="006A0057"/>
    <w:rsid w:val="006A031F"/>
    <w:rsid w:val="006A1D8F"/>
    <w:rsid w:val="006A3752"/>
    <w:rsid w:val="006A381E"/>
    <w:rsid w:val="006A38EF"/>
    <w:rsid w:val="006A4847"/>
    <w:rsid w:val="006A5170"/>
    <w:rsid w:val="006A51D0"/>
    <w:rsid w:val="006A55D0"/>
    <w:rsid w:val="006A660E"/>
    <w:rsid w:val="006B1453"/>
    <w:rsid w:val="006B28CB"/>
    <w:rsid w:val="006B2CCC"/>
    <w:rsid w:val="006B330D"/>
    <w:rsid w:val="006B35AA"/>
    <w:rsid w:val="006B3A16"/>
    <w:rsid w:val="006B44E6"/>
    <w:rsid w:val="006B495C"/>
    <w:rsid w:val="006B5213"/>
    <w:rsid w:val="006B5EDC"/>
    <w:rsid w:val="006B6803"/>
    <w:rsid w:val="006B6D0A"/>
    <w:rsid w:val="006B7525"/>
    <w:rsid w:val="006B7F07"/>
    <w:rsid w:val="006C1468"/>
    <w:rsid w:val="006C1649"/>
    <w:rsid w:val="006C1689"/>
    <w:rsid w:val="006C2153"/>
    <w:rsid w:val="006C2559"/>
    <w:rsid w:val="006C3951"/>
    <w:rsid w:val="006C3C6D"/>
    <w:rsid w:val="006C555E"/>
    <w:rsid w:val="006C6094"/>
    <w:rsid w:val="006C60BA"/>
    <w:rsid w:val="006C7708"/>
    <w:rsid w:val="006C786C"/>
    <w:rsid w:val="006C7B58"/>
    <w:rsid w:val="006C7F13"/>
    <w:rsid w:val="006D02D8"/>
    <w:rsid w:val="006D0EE9"/>
    <w:rsid w:val="006D1BBE"/>
    <w:rsid w:val="006D1E97"/>
    <w:rsid w:val="006D2824"/>
    <w:rsid w:val="006D29C7"/>
    <w:rsid w:val="006D3252"/>
    <w:rsid w:val="006D33CB"/>
    <w:rsid w:val="006D34B8"/>
    <w:rsid w:val="006D36B8"/>
    <w:rsid w:val="006D62B9"/>
    <w:rsid w:val="006D673D"/>
    <w:rsid w:val="006D6DAE"/>
    <w:rsid w:val="006E061F"/>
    <w:rsid w:val="006E0C5A"/>
    <w:rsid w:val="006E0E2B"/>
    <w:rsid w:val="006E1F4B"/>
    <w:rsid w:val="006E2813"/>
    <w:rsid w:val="006E3430"/>
    <w:rsid w:val="006E4477"/>
    <w:rsid w:val="006E58B1"/>
    <w:rsid w:val="006E62E4"/>
    <w:rsid w:val="006E6D25"/>
    <w:rsid w:val="006E72BF"/>
    <w:rsid w:val="006E7914"/>
    <w:rsid w:val="006E7E9A"/>
    <w:rsid w:val="006F05A1"/>
    <w:rsid w:val="006F1314"/>
    <w:rsid w:val="006F1B3E"/>
    <w:rsid w:val="006F1C42"/>
    <w:rsid w:val="006F241C"/>
    <w:rsid w:val="006F3BC5"/>
    <w:rsid w:val="006F3C7F"/>
    <w:rsid w:val="006F3D22"/>
    <w:rsid w:val="006F57B1"/>
    <w:rsid w:val="006F5EC7"/>
    <w:rsid w:val="006F635D"/>
    <w:rsid w:val="006F6657"/>
    <w:rsid w:val="006F7924"/>
    <w:rsid w:val="00701377"/>
    <w:rsid w:val="00701472"/>
    <w:rsid w:val="00701DA6"/>
    <w:rsid w:val="0070277E"/>
    <w:rsid w:val="0070379F"/>
    <w:rsid w:val="00703DF2"/>
    <w:rsid w:val="007041FD"/>
    <w:rsid w:val="00704632"/>
    <w:rsid w:val="00704788"/>
    <w:rsid w:val="0070482C"/>
    <w:rsid w:val="0070515A"/>
    <w:rsid w:val="007063C2"/>
    <w:rsid w:val="007100C8"/>
    <w:rsid w:val="007101F3"/>
    <w:rsid w:val="00711CF1"/>
    <w:rsid w:val="00713F65"/>
    <w:rsid w:val="007142AC"/>
    <w:rsid w:val="0071506A"/>
    <w:rsid w:val="00716A1A"/>
    <w:rsid w:val="00716F29"/>
    <w:rsid w:val="00717858"/>
    <w:rsid w:val="00717CE1"/>
    <w:rsid w:val="00720B00"/>
    <w:rsid w:val="00721950"/>
    <w:rsid w:val="0072225F"/>
    <w:rsid w:val="00722518"/>
    <w:rsid w:val="007228D6"/>
    <w:rsid w:val="00723574"/>
    <w:rsid w:val="007239C4"/>
    <w:rsid w:val="00724393"/>
    <w:rsid w:val="00724594"/>
    <w:rsid w:val="007246AE"/>
    <w:rsid w:val="00724973"/>
    <w:rsid w:val="007258EB"/>
    <w:rsid w:val="007263C6"/>
    <w:rsid w:val="00726AC0"/>
    <w:rsid w:val="00726B72"/>
    <w:rsid w:val="00726F22"/>
    <w:rsid w:val="00727AE8"/>
    <w:rsid w:val="00727BFC"/>
    <w:rsid w:val="0073114C"/>
    <w:rsid w:val="0073181B"/>
    <w:rsid w:val="00731CCC"/>
    <w:rsid w:val="0073308A"/>
    <w:rsid w:val="00733AE4"/>
    <w:rsid w:val="007346CE"/>
    <w:rsid w:val="007411B2"/>
    <w:rsid w:val="007412F0"/>
    <w:rsid w:val="00741A5C"/>
    <w:rsid w:val="00741C32"/>
    <w:rsid w:val="007434BE"/>
    <w:rsid w:val="00743AFC"/>
    <w:rsid w:val="00743B12"/>
    <w:rsid w:val="00745664"/>
    <w:rsid w:val="00745A01"/>
    <w:rsid w:val="00745DCC"/>
    <w:rsid w:val="00745ECA"/>
    <w:rsid w:val="00746414"/>
    <w:rsid w:val="00746B7E"/>
    <w:rsid w:val="007478FD"/>
    <w:rsid w:val="00747F0A"/>
    <w:rsid w:val="00750212"/>
    <w:rsid w:val="007503FE"/>
    <w:rsid w:val="00750E8E"/>
    <w:rsid w:val="00751C5A"/>
    <w:rsid w:val="007525CF"/>
    <w:rsid w:val="00752A72"/>
    <w:rsid w:val="00752DEE"/>
    <w:rsid w:val="00752E85"/>
    <w:rsid w:val="00753B50"/>
    <w:rsid w:val="00753C64"/>
    <w:rsid w:val="0075614F"/>
    <w:rsid w:val="007565B0"/>
    <w:rsid w:val="00757AB9"/>
    <w:rsid w:val="00760C77"/>
    <w:rsid w:val="00761E7A"/>
    <w:rsid w:val="0076233D"/>
    <w:rsid w:val="0076313A"/>
    <w:rsid w:val="00765646"/>
    <w:rsid w:val="0076574B"/>
    <w:rsid w:val="007665E1"/>
    <w:rsid w:val="00770247"/>
    <w:rsid w:val="00771D62"/>
    <w:rsid w:val="00772B37"/>
    <w:rsid w:val="00773C0B"/>
    <w:rsid w:val="00774373"/>
    <w:rsid w:val="0077582A"/>
    <w:rsid w:val="00776670"/>
    <w:rsid w:val="00776ECD"/>
    <w:rsid w:val="007807AF"/>
    <w:rsid w:val="00781250"/>
    <w:rsid w:val="00781641"/>
    <w:rsid w:val="00781805"/>
    <w:rsid w:val="00782131"/>
    <w:rsid w:val="007827D5"/>
    <w:rsid w:val="0078325C"/>
    <w:rsid w:val="00783339"/>
    <w:rsid w:val="007839FD"/>
    <w:rsid w:val="00783ED7"/>
    <w:rsid w:val="00784842"/>
    <w:rsid w:val="00785C1D"/>
    <w:rsid w:val="007871FB"/>
    <w:rsid w:val="00790185"/>
    <w:rsid w:val="00790358"/>
    <w:rsid w:val="00790747"/>
    <w:rsid w:val="007909DD"/>
    <w:rsid w:val="00790B45"/>
    <w:rsid w:val="00791349"/>
    <w:rsid w:val="00792581"/>
    <w:rsid w:val="0079270B"/>
    <w:rsid w:val="00793CB7"/>
    <w:rsid w:val="007945BF"/>
    <w:rsid w:val="00794EFD"/>
    <w:rsid w:val="00794FE4"/>
    <w:rsid w:val="007959CE"/>
    <w:rsid w:val="00795D8F"/>
    <w:rsid w:val="00796382"/>
    <w:rsid w:val="00796734"/>
    <w:rsid w:val="007972CE"/>
    <w:rsid w:val="007976F0"/>
    <w:rsid w:val="00797C56"/>
    <w:rsid w:val="007A06A2"/>
    <w:rsid w:val="007A0FF1"/>
    <w:rsid w:val="007A10CF"/>
    <w:rsid w:val="007A1119"/>
    <w:rsid w:val="007A1620"/>
    <w:rsid w:val="007A195C"/>
    <w:rsid w:val="007A1BB3"/>
    <w:rsid w:val="007A24E2"/>
    <w:rsid w:val="007A435D"/>
    <w:rsid w:val="007A45A2"/>
    <w:rsid w:val="007A66AE"/>
    <w:rsid w:val="007A6DFD"/>
    <w:rsid w:val="007A72F0"/>
    <w:rsid w:val="007A77D7"/>
    <w:rsid w:val="007A7AE5"/>
    <w:rsid w:val="007B082A"/>
    <w:rsid w:val="007B09F4"/>
    <w:rsid w:val="007B0C3E"/>
    <w:rsid w:val="007B156A"/>
    <w:rsid w:val="007B1874"/>
    <w:rsid w:val="007B1A18"/>
    <w:rsid w:val="007B1B9D"/>
    <w:rsid w:val="007B243E"/>
    <w:rsid w:val="007B2909"/>
    <w:rsid w:val="007B36AC"/>
    <w:rsid w:val="007B3914"/>
    <w:rsid w:val="007B3CD0"/>
    <w:rsid w:val="007B6054"/>
    <w:rsid w:val="007B6975"/>
    <w:rsid w:val="007B6CD5"/>
    <w:rsid w:val="007B7996"/>
    <w:rsid w:val="007C1FD8"/>
    <w:rsid w:val="007C2ADF"/>
    <w:rsid w:val="007C336B"/>
    <w:rsid w:val="007C42A7"/>
    <w:rsid w:val="007C4EC5"/>
    <w:rsid w:val="007C5046"/>
    <w:rsid w:val="007C556B"/>
    <w:rsid w:val="007C6B65"/>
    <w:rsid w:val="007C7286"/>
    <w:rsid w:val="007C72D9"/>
    <w:rsid w:val="007C7566"/>
    <w:rsid w:val="007D243D"/>
    <w:rsid w:val="007D26BB"/>
    <w:rsid w:val="007D2854"/>
    <w:rsid w:val="007D2B20"/>
    <w:rsid w:val="007D2FEB"/>
    <w:rsid w:val="007D456F"/>
    <w:rsid w:val="007D5164"/>
    <w:rsid w:val="007D527D"/>
    <w:rsid w:val="007D644C"/>
    <w:rsid w:val="007D786E"/>
    <w:rsid w:val="007D7CA2"/>
    <w:rsid w:val="007D7E97"/>
    <w:rsid w:val="007D7F05"/>
    <w:rsid w:val="007E0099"/>
    <w:rsid w:val="007E0540"/>
    <w:rsid w:val="007E0DB7"/>
    <w:rsid w:val="007E0E07"/>
    <w:rsid w:val="007E1047"/>
    <w:rsid w:val="007E106C"/>
    <w:rsid w:val="007E26BF"/>
    <w:rsid w:val="007E27F1"/>
    <w:rsid w:val="007E2FB2"/>
    <w:rsid w:val="007E3772"/>
    <w:rsid w:val="007E3C53"/>
    <w:rsid w:val="007E496E"/>
    <w:rsid w:val="007E4E8A"/>
    <w:rsid w:val="007E54F3"/>
    <w:rsid w:val="007E5598"/>
    <w:rsid w:val="007E570B"/>
    <w:rsid w:val="007E5F7F"/>
    <w:rsid w:val="007E6292"/>
    <w:rsid w:val="007E77E1"/>
    <w:rsid w:val="007E7C74"/>
    <w:rsid w:val="007F018D"/>
    <w:rsid w:val="007F19F1"/>
    <w:rsid w:val="007F1D06"/>
    <w:rsid w:val="007F27D6"/>
    <w:rsid w:val="007F2B87"/>
    <w:rsid w:val="007F318A"/>
    <w:rsid w:val="007F38D5"/>
    <w:rsid w:val="007F39BD"/>
    <w:rsid w:val="007F3EE5"/>
    <w:rsid w:val="007F506C"/>
    <w:rsid w:val="007F51AC"/>
    <w:rsid w:val="007F5BA9"/>
    <w:rsid w:val="007F601F"/>
    <w:rsid w:val="007F6A0F"/>
    <w:rsid w:val="007F6AFC"/>
    <w:rsid w:val="007F76E6"/>
    <w:rsid w:val="007F7FA6"/>
    <w:rsid w:val="00800142"/>
    <w:rsid w:val="00800D76"/>
    <w:rsid w:val="00801443"/>
    <w:rsid w:val="00801C9B"/>
    <w:rsid w:val="00802440"/>
    <w:rsid w:val="00802A9E"/>
    <w:rsid w:val="00803937"/>
    <w:rsid w:val="00803BD5"/>
    <w:rsid w:val="00803DE0"/>
    <w:rsid w:val="00804E7B"/>
    <w:rsid w:val="00805B49"/>
    <w:rsid w:val="00806916"/>
    <w:rsid w:val="00811315"/>
    <w:rsid w:val="008117A0"/>
    <w:rsid w:val="0081211D"/>
    <w:rsid w:val="008134B2"/>
    <w:rsid w:val="00813B1C"/>
    <w:rsid w:val="00813DB5"/>
    <w:rsid w:val="00814531"/>
    <w:rsid w:val="00815610"/>
    <w:rsid w:val="00815BC1"/>
    <w:rsid w:val="00815C1E"/>
    <w:rsid w:val="008164E8"/>
    <w:rsid w:val="00817F18"/>
    <w:rsid w:val="00817F46"/>
    <w:rsid w:val="00822DAF"/>
    <w:rsid w:val="008237C6"/>
    <w:rsid w:val="00824076"/>
    <w:rsid w:val="00824CD6"/>
    <w:rsid w:val="0082502E"/>
    <w:rsid w:val="00825B04"/>
    <w:rsid w:val="0082613F"/>
    <w:rsid w:val="00826203"/>
    <w:rsid w:val="008262A6"/>
    <w:rsid w:val="00826533"/>
    <w:rsid w:val="00826F63"/>
    <w:rsid w:val="008306FF"/>
    <w:rsid w:val="00830DCC"/>
    <w:rsid w:val="00831447"/>
    <w:rsid w:val="00831DCE"/>
    <w:rsid w:val="00832091"/>
    <w:rsid w:val="00832956"/>
    <w:rsid w:val="00834097"/>
    <w:rsid w:val="00835C9E"/>
    <w:rsid w:val="00836560"/>
    <w:rsid w:val="008367D7"/>
    <w:rsid w:val="008401A5"/>
    <w:rsid w:val="00842DFD"/>
    <w:rsid w:val="008438DA"/>
    <w:rsid w:val="00844D43"/>
    <w:rsid w:val="00844F01"/>
    <w:rsid w:val="00845ECB"/>
    <w:rsid w:val="00846910"/>
    <w:rsid w:val="00846B1F"/>
    <w:rsid w:val="00847CA6"/>
    <w:rsid w:val="00851FD8"/>
    <w:rsid w:val="00852803"/>
    <w:rsid w:val="008540D4"/>
    <w:rsid w:val="008542CF"/>
    <w:rsid w:val="008546E4"/>
    <w:rsid w:val="00854E28"/>
    <w:rsid w:val="008552F0"/>
    <w:rsid w:val="008553F4"/>
    <w:rsid w:val="00855DBE"/>
    <w:rsid w:val="00856C27"/>
    <w:rsid w:val="00856E0A"/>
    <w:rsid w:val="0086005E"/>
    <w:rsid w:val="0086073D"/>
    <w:rsid w:val="00862176"/>
    <w:rsid w:val="008643B7"/>
    <w:rsid w:val="00864BD5"/>
    <w:rsid w:val="0086567C"/>
    <w:rsid w:val="00865880"/>
    <w:rsid w:val="00865D62"/>
    <w:rsid w:val="00866CFD"/>
    <w:rsid w:val="00867F95"/>
    <w:rsid w:val="008707F8"/>
    <w:rsid w:val="00870D57"/>
    <w:rsid w:val="00871018"/>
    <w:rsid w:val="00873517"/>
    <w:rsid w:val="00873FFD"/>
    <w:rsid w:val="0087445B"/>
    <w:rsid w:val="0087493C"/>
    <w:rsid w:val="00874DFF"/>
    <w:rsid w:val="0087606F"/>
    <w:rsid w:val="008761FB"/>
    <w:rsid w:val="00876A27"/>
    <w:rsid w:val="00876D1A"/>
    <w:rsid w:val="008772B1"/>
    <w:rsid w:val="00877667"/>
    <w:rsid w:val="00877716"/>
    <w:rsid w:val="008805CB"/>
    <w:rsid w:val="008806EF"/>
    <w:rsid w:val="00880FF8"/>
    <w:rsid w:val="00884342"/>
    <w:rsid w:val="00884548"/>
    <w:rsid w:val="00885001"/>
    <w:rsid w:val="0088532C"/>
    <w:rsid w:val="00885DFB"/>
    <w:rsid w:val="00886264"/>
    <w:rsid w:val="0088673C"/>
    <w:rsid w:val="008903D4"/>
    <w:rsid w:val="00890465"/>
    <w:rsid w:val="00890989"/>
    <w:rsid w:val="00890EF7"/>
    <w:rsid w:val="00891A2D"/>
    <w:rsid w:val="008920E3"/>
    <w:rsid w:val="0089218E"/>
    <w:rsid w:val="00893C2D"/>
    <w:rsid w:val="00895C7E"/>
    <w:rsid w:val="00896479"/>
    <w:rsid w:val="00897A7B"/>
    <w:rsid w:val="00897CB5"/>
    <w:rsid w:val="008A02B1"/>
    <w:rsid w:val="008A0684"/>
    <w:rsid w:val="008A092D"/>
    <w:rsid w:val="008A19D0"/>
    <w:rsid w:val="008A1C1F"/>
    <w:rsid w:val="008A1F1F"/>
    <w:rsid w:val="008A2165"/>
    <w:rsid w:val="008A29C7"/>
    <w:rsid w:val="008A3451"/>
    <w:rsid w:val="008A3C22"/>
    <w:rsid w:val="008A47A3"/>
    <w:rsid w:val="008A5094"/>
    <w:rsid w:val="008A5212"/>
    <w:rsid w:val="008A5F2F"/>
    <w:rsid w:val="008A63E0"/>
    <w:rsid w:val="008A6E22"/>
    <w:rsid w:val="008A7240"/>
    <w:rsid w:val="008A7C9D"/>
    <w:rsid w:val="008B01F9"/>
    <w:rsid w:val="008B558F"/>
    <w:rsid w:val="008B5C59"/>
    <w:rsid w:val="008C03F3"/>
    <w:rsid w:val="008C0404"/>
    <w:rsid w:val="008C0782"/>
    <w:rsid w:val="008C152C"/>
    <w:rsid w:val="008C1762"/>
    <w:rsid w:val="008C1810"/>
    <w:rsid w:val="008C1888"/>
    <w:rsid w:val="008C2817"/>
    <w:rsid w:val="008C315C"/>
    <w:rsid w:val="008C3262"/>
    <w:rsid w:val="008C3BE8"/>
    <w:rsid w:val="008C43CD"/>
    <w:rsid w:val="008C4D02"/>
    <w:rsid w:val="008C5165"/>
    <w:rsid w:val="008C51D1"/>
    <w:rsid w:val="008C5DC3"/>
    <w:rsid w:val="008C7000"/>
    <w:rsid w:val="008C7663"/>
    <w:rsid w:val="008C78FF"/>
    <w:rsid w:val="008D1162"/>
    <w:rsid w:val="008D1D47"/>
    <w:rsid w:val="008D25DB"/>
    <w:rsid w:val="008D317C"/>
    <w:rsid w:val="008D325D"/>
    <w:rsid w:val="008D4836"/>
    <w:rsid w:val="008D5183"/>
    <w:rsid w:val="008D61E6"/>
    <w:rsid w:val="008D7297"/>
    <w:rsid w:val="008E0BEA"/>
    <w:rsid w:val="008E0ED1"/>
    <w:rsid w:val="008E18BF"/>
    <w:rsid w:val="008E1D85"/>
    <w:rsid w:val="008E1EF5"/>
    <w:rsid w:val="008E363D"/>
    <w:rsid w:val="008E3650"/>
    <w:rsid w:val="008E4405"/>
    <w:rsid w:val="008E5D7C"/>
    <w:rsid w:val="008E6E54"/>
    <w:rsid w:val="008E78B8"/>
    <w:rsid w:val="008E7955"/>
    <w:rsid w:val="008F09C1"/>
    <w:rsid w:val="008F0C8A"/>
    <w:rsid w:val="008F0E60"/>
    <w:rsid w:val="008F1B5B"/>
    <w:rsid w:val="008F1E7E"/>
    <w:rsid w:val="008F1F41"/>
    <w:rsid w:val="008F3C41"/>
    <w:rsid w:val="008F4229"/>
    <w:rsid w:val="008F4AC8"/>
    <w:rsid w:val="008F5270"/>
    <w:rsid w:val="008F61F8"/>
    <w:rsid w:val="008F6374"/>
    <w:rsid w:val="008F6CDF"/>
    <w:rsid w:val="008F7C90"/>
    <w:rsid w:val="00900FFB"/>
    <w:rsid w:val="00902311"/>
    <w:rsid w:val="00902988"/>
    <w:rsid w:val="00903036"/>
    <w:rsid w:val="00904508"/>
    <w:rsid w:val="00905824"/>
    <w:rsid w:val="00906288"/>
    <w:rsid w:val="009067A7"/>
    <w:rsid w:val="00907103"/>
    <w:rsid w:val="0090756D"/>
    <w:rsid w:val="00907F50"/>
    <w:rsid w:val="009102D5"/>
    <w:rsid w:val="009129E8"/>
    <w:rsid w:val="00912AC9"/>
    <w:rsid w:val="00913853"/>
    <w:rsid w:val="00913D17"/>
    <w:rsid w:val="00913E96"/>
    <w:rsid w:val="00913F68"/>
    <w:rsid w:val="0091436A"/>
    <w:rsid w:val="00915CD9"/>
    <w:rsid w:val="00915DD1"/>
    <w:rsid w:val="009163A4"/>
    <w:rsid w:val="009169B1"/>
    <w:rsid w:val="00916A9F"/>
    <w:rsid w:val="00916FC7"/>
    <w:rsid w:val="009174F5"/>
    <w:rsid w:val="00917CD4"/>
    <w:rsid w:val="009201D2"/>
    <w:rsid w:val="00920379"/>
    <w:rsid w:val="00920856"/>
    <w:rsid w:val="0092088D"/>
    <w:rsid w:val="00920F41"/>
    <w:rsid w:val="0092140A"/>
    <w:rsid w:val="0092187E"/>
    <w:rsid w:val="00921B56"/>
    <w:rsid w:val="0092374D"/>
    <w:rsid w:val="00923CA2"/>
    <w:rsid w:val="009242EA"/>
    <w:rsid w:val="00925422"/>
    <w:rsid w:val="00925838"/>
    <w:rsid w:val="009258CA"/>
    <w:rsid w:val="00925C92"/>
    <w:rsid w:val="009260A3"/>
    <w:rsid w:val="00926F34"/>
    <w:rsid w:val="00927293"/>
    <w:rsid w:val="00930938"/>
    <w:rsid w:val="009319EA"/>
    <w:rsid w:val="00932868"/>
    <w:rsid w:val="009334E8"/>
    <w:rsid w:val="00934140"/>
    <w:rsid w:val="00935491"/>
    <w:rsid w:val="009355F5"/>
    <w:rsid w:val="00935979"/>
    <w:rsid w:val="00936A89"/>
    <w:rsid w:val="0093731D"/>
    <w:rsid w:val="00940F62"/>
    <w:rsid w:val="00941680"/>
    <w:rsid w:val="009416D4"/>
    <w:rsid w:val="00943392"/>
    <w:rsid w:val="009439D4"/>
    <w:rsid w:val="00943DA3"/>
    <w:rsid w:val="00943E3E"/>
    <w:rsid w:val="00944849"/>
    <w:rsid w:val="00944BF0"/>
    <w:rsid w:val="00945921"/>
    <w:rsid w:val="00945F36"/>
    <w:rsid w:val="00946EEF"/>
    <w:rsid w:val="009477A3"/>
    <w:rsid w:val="00947D1B"/>
    <w:rsid w:val="00950213"/>
    <w:rsid w:val="009506DF"/>
    <w:rsid w:val="009509C0"/>
    <w:rsid w:val="00951ABE"/>
    <w:rsid w:val="00953816"/>
    <w:rsid w:val="0095415B"/>
    <w:rsid w:val="00955143"/>
    <w:rsid w:val="00955FBE"/>
    <w:rsid w:val="009560F3"/>
    <w:rsid w:val="009575E2"/>
    <w:rsid w:val="0095793D"/>
    <w:rsid w:val="00957A37"/>
    <w:rsid w:val="00957A65"/>
    <w:rsid w:val="00960D5F"/>
    <w:rsid w:val="00961097"/>
    <w:rsid w:val="009613B4"/>
    <w:rsid w:val="00962BA3"/>
    <w:rsid w:val="00962C76"/>
    <w:rsid w:val="009630B7"/>
    <w:rsid w:val="009636E1"/>
    <w:rsid w:val="00963EB9"/>
    <w:rsid w:val="009643E4"/>
    <w:rsid w:val="00964788"/>
    <w:rsid w:val="0096652D"/>
    <w:rsid w:val="00966A82"/>
    <w:rsid w:val="00967A12"/>
    <w:rsid w:val="00967DA6"/>
    <w:rsid w:val="009700FF"/>
    <w:rsid w:val="00971B62"/>
    <w:rsid w:val="0097241E"/>
    <w:rsid w:val="00972D92"/>
    <w:rsid w:val="0097316E"/>
    <w:rsid w:val="009740F0"/>
    <w:rsid w:val="00974AB5"/>
    <w:rsid w:val="00975221"/>
    <w:rsid w:val="009760AD"/>
    <w:rsid w:val="00976D4A"/>
    <w:rsid w:val="00977BE5"/>
    <w:rsid w:val="009805B7"/>
    <w:rsid w:val="0098128E"/>
    <w:rsid w:val="009815B1"/>
    <w:rsid w:val="00982509"/>
    <w:rsid w:val="00982EF8"/>
    <w:rsid w:val="00983C70"/>
    <w:rsid w:val="0098564C"/>
    <w:rsid w:val="00985BDA"/>
    <w:rsid w:val="00985DD5"/>
    <w:rsid w:val="0098704F"/>
    <w:rsid w:val="00987E16"/>
    <w:rsid w:val="00990CF0"/>
    <w:rsid w:val="00990D39"/>
    <w:rsid w:val="0099131A"/>
    <w:rsid w:val="009913C2"/>
    <w:rsid w:val="00991B3B"/>
    <w:rsid w:val="00993B47"/>
    <w:rsid w:val="009941A8"/>
    <w:rsid w:val="00994868"/>
    <w:rsid w:val="009948D9"/>
    <w:rsid w:val="00994F63"/>
    <w:rsid w:val="00995779"/>
    <w:rsid w:val="00995B98"/>
    <w:rsid w:val="009A17EB"/>
    <w:rsid w:val="009A2722"/>
    <w:rsid w:val="009A36C5"/>
    <w:rsid w:val="009A37FF"/>
    <w:rsid w:val="009A445D"/>
    <w:rsid w:val="009A5D39"/>
    <w:rsid w:val="009A60EB"/>
    <w:rsid w:val="009A6801"/>
    <w:rsid w:val="009A6B41"/>
    <w:rsid w:val="009A70C1"/>
    <w:rsid w:val="009A733A"/>
    <w:rsid w:val="009A7490"/>
    <w:rsid w:val="009A7731"/>
    <w:rsid w:val="009A7891"/>
    <w:rsid w:val="009B05C4"/>
    <w:rsid w:val="009B11D3"/>
    <w:rsid w:val="009B27FB"/>
    <w:rsid w:val="009B2FD1"/>
    <w:rsid w:val="009B4082"/>
    <w:rsid w:val="009B535B"/>
    <w:rsid w:val="009B5678"/>
    <w:rsid w:val="009B56E4"/>
    <w:rsid w:val="009B6135"/>
    <w:rsid w:val="009B6959"/>
    <w:rsid w:val="009B6B33"/>
    <w:rsid w:val="009B6B63"/>
    <w:rsid w:val="009B6ED5"/>
    <w:rsid w:val="009C0D70"/>
    <w:rsid w:val="009C3BD0"/>
    <w:rsid w:val="009C545D"/>
    <w:rsid w:val="009C5A17"/>
    <w:rsid w:val="009C5F0B"/>
    <w:rsid w:val="009C68AB"/>
    <w:rsid w:val="009C7B82"/>
    <w:rsid w:val="009D089B"/>
    <w:rsid w:val="009D159A"/>
    <w:rsid w:val="009D1821"/>
    <w:rsid w:val="009D1996"/>
    <w:rsid w:val="009D24C6"/>
    <w:rsid w:val="009D2DE9"/>
    <w:rsid w:val="009D3F82"/>
    <w:rsid w:val="009D4205"/>
    <w:rsid w:val="009D6B1A"/>
    <w:rsid w:val="009D703F"/>
    <w:rsid w:val="009D76A6"/>
    <w:rsid w:val="009D76D2"/>
    <w:rsid w:val="009E0125"/>
    <w:rsid w:val="009E0431"/>
    <w:rsid w:val="009E1477"/>
    <w:rsid w:val="009E3F93"/>
    <w:rsid w:val="009E5FA3"/>
    <w:rsid w:val="009E7840"/>
    <w:rsid w:val="009F0612"/>
    <w:rsid w:val="009F0F70"/>
    <w:rsid w:val="009F17DB"/>
    <w:rsid w:val="009F18FE"/>
    <w:rsid w:val="009F1CC1"/>
    <w:rsid w:val="009F3DA3"/>
    <w:rsid w:val="009F44C6"/>
    <w:rsid w:val="009F489F"/>
    <w:rsid w:val="009F4DCB"/>
    <w:rsid w:val="009F4E23"/>
    <w:rsid w:val="009F65A0"/>
    <w:rsid w:val="009F6880"/>
    <w:rsid w:val="009F6990"/>
    <w:rsid w:val="009F69F9"/>
    <w:rsid w:val="009F79FE"/>
    <w:rsid w:val="009F7E78"/>
    <w:rsid w:val="009F7F61"/>
    <w:rsid w:val="00A00224"/>
    <w:rsid w:val="00A01D8F"/>
    <w:rsid w:val="00A01FAE"/>
    <w:rsid w:val="00A02018"/>
    <w:rsid w:val="00A02A0E"/>
    <w:rsid w:val="00A02AC7"/>
    <w:rsid w:val="00A02ADC"/>
    <w:rsid w:val="00A03695"/>
    <w:rsid w:val="00A03716"/>
    <w:rsid w:val="00A03849"/>
    <w:rsid w:val="00A03F64"/>
    <w:rsid w:val="00A04D31"/>
    <w:rsid w:val="00A04E9E"/>
    <w:rsid w:val="00A05136"/>
    <w:rsid w:val="00A05812"/>
    <w:rsid w:val="00A06437"/>
    <w:rsid w:val="00A07B38"/>
    <w:rsid w:val="00A1072E"/>
    <w:rsid w:val="00A107E3"/>
    <w:rsid w:val="00A11278"/>
    <w:rsid w:val="00A12A55"/>
    <w:rsid w:val="00A13E1A"/>
    <w:rsid w:val="00A14084"/>
    <w:rsid w:val="00A14CD3"/>
    <w:rsid w:val="00A16263"/>
    <w:rsid w:val="00A16E89"/>
    <w:rsid w:val="00A170BC"/>
    <w:rsid w:val="00A17777"/>
    <w:rsid w:val="00A200FC"/>
    <w:rsid w:val="00A201A0"/>
    <w:rsid w:val="00A201D9"/>
    <w:rsid w:val="00A21C18"/>
    <w:rsid w:val="00A22628"/>
    <w:rsid w:val="00A23412"/>
    <w:rsid w:val="00A25537"/>
    <w:rsid w:val="00A257FC"/>
    <w:rsid w:val="00A26AD0"/>
    <w:rsid w:val="00A26C65"/>
    <w:rsid w:val="00A26C84"/>
    <w:rsid w:val="00A27DA2"/>
    <w:rsid w:val="00A27E2D"/>
    <w:rsid w:val="00A27FF8"/>
    <w:rsid w:val="00A30649"/>
    <w:rsid w:val="00A30A9B"/>
    <w:rsid w:val="00A30BFA"/>
    <w:rsid w:val="00A30CFA"/>
    <w:rsid w:val="00A31718"/>
    <w:rsid w:val="00A31AB2"/>
    <w:rsid w:val="00A31ED5"/>
    <w:rsid w:val="00A31F1D"/>
    <w:rsid w:val="00A320DB"/>
    <w:rsid w:val="00A32B45"/>
    <w:rsid w:val="00A32DE1"/>
    <w:rsid w:val="00A33824"/>
    <w:rsid w:val="00A33951"/>
    <w:rsid w:val="00A339B7"/>
    <w:rsid w:val="00A34027"/>
    <w:rsid w:val="00A35D62"/>
    <w:rsid w:val="00A36DDF"/>
    <w:rsid w:val="00A36E8D"/>
    <w:rsid w:val="00A37DF0"/>
    <w:rsid w:val="00A40293"/>
    <w:rsid w:val="00A40630"/>
    <w:rsid w:val="00A40C8D"/>
    <w:rsid w:val="00A40CDC"/>
    <w:rsid w:val="00A40E64"/>
    <w:rsid w:val="00A40E86"/>
    <w:rsid w:val="00A415AC"/>
    <w:rsid w:val="00A4181D"/>
    <w:rsid w:val="00A42CAC"/>
    <w:rsid w:val="00A43630"/>
    <w:rsid w:val="00A445EE"/>
    <w:rsid w:val="00A44878"/>
    <w:rsid w:val="00A44AE9"/>
    <w:rsid w:val="00A46054"/>
    <w:rsid w:val="00A46249"/>
    <w:rsid w:val="00A46462"/>
    <w:rsid w:val="00A46479"/>
    <w:rsid w:val="00A47408"/>
    <w:rsid w:val="00A50A00"/>
    <w:rsid w:val="00A52DDA"/>
    <w:rsid w:val="00A53F64"/>
    <w:rsid w:val="00A5452D"/>
    <w:rsid w:val="00A54F60"/>
    <w:rsid w:val="00A55998"/>
    <w:rsid w:val="00A56BA2"/>
    <w:rsid w:val="00A56E63"/>
    <w:rsid w:val="00A571B3"/>
    <w:rsid w:val="00A57210"/>
    <w:rsid w:val="00A57858"/>
    <w:rsid w:val="00A60154"/>
    <w:rsid w:val="00A622B5"/>
    <w:rsid w:val="00A62C28"/>
    <w:rsid w:val="00A62DB6"/>
    <w:rsid w:val="00A6393D"/>
    <w:rsid w:val="00A639D4"/>
    <w:rsid w:val="00A647C7"/>
    <w:rsid w:val="00A65D4D"/>
    <w:rsid w:val="00A669D0"/>
    <w:rsid w:val="00A678B8"/>
    <w:rsid w:val="00A67959"/>
    <w:rsid w:val="00A70353"/>
    <w:rsid w:val="00A7115E"/>
    <w:rsid w:val="00A71CE1"/>
    <w:rsid w:val="00A72588"/>
    <w:rsid w:val="00A727E6"/>
    <w:rsid w:val="00A72C72"/>
    <w:rsid w:val="00A72F9A"/>
    <w:rsid w:val="00A730B1"/>
    <w:rsid w:val="00A747EF"/>
    <w:rsid w:val="00A75833"/>
    <w:rsid w:val="00A75BE7"/>
    <w:rsid w:val="00A76EEE"/>
    <w:rsid w:val="00A77FB5"/>
    <w:rsid w:val="00A8056F"/>
    <w:rsid w:val="00A80AFA"/>
    <w:rsid w:val="00A81788"/>
    <w:rsid w:val="00A81815"/>
    <w:rsid w:val="00A81F77"/>
    <w:rsid w:val="00A823CC"/>
    <w:rsid w:val="00A83103"/>
    <w:rsid w:val="00A84CE0"/>
    <w:rsid w:val="00A84FC5"/>
    <w:rsid w:val="00A85009"/>
    <w:rsid w:val="00A854EA"/>
    <w:rsid w:val="00A85B8C"/>
    <w:rsid w:val="00A85D41"/>
    <w:rsid w:val="00A86E46"/>
    <w:rsid w:val="00A86E48"/>
    <w:rsid w:val="00A87A9F"/>
    <w:rsid w:val="00A9008C"/>
    <w:rsid w:val="00A90F51"/>
    <w:rsid w:val="00A91767"/>
    <w:rsid w:val="00A91E83"/>
    <w:rsid w:val="00A93237"/>
    <w:rsid w:val="00A935F4"/>
    <w:rsid w:val="00A93D57"/>
    <w:rsid w:val="00A93F25"/>
    <w:rsid w:val="00A93F4A"/>
    <w:rsid w:val="00A94BCC"/>
    <w:rsid w:val="00A9637D"/>
    <w:rsid w:val="00A9750C"/>
    <w:rsid w:val="00A97876"/>
    <w:rsid w:val="00AA0BB3"/>
    <w:rsid w:val="00AA114D"/>
    <w:rsid w:val="00AA16FF"/>
    <w:rsid w:val="00AA1B85"/>
    <w:rsid w:val="00AA26EA"/>
    <w:rsid w:val="00AA276C"/>
    <w:rsid w:val="00AA2C8E"/>
    <w:rsid w:val="00AA34A8"/>
    <w:rsid w:val="00AA3763"/>
    <w:rsid w:val="00AA4EC7"/>
    <w:rsid w:val="00AB0075"/>
    <w:rsid w:val="00AB12A7"/>
    <w:rsid w:val="00AB143D"/>
    <w:rsid w:val="00AB3388"/>
    <w:rsid w:val="00AB382D"/>
    <w:rsid w:val="00AB3E70"/>
    <w:rsid w:val="00AB3F34"/>
    <w:rsid w:val="00AB4839"/>
    <w:rsid w:val="00AB4FAB"/>
    <w:rsid w:val="00AB5DE2"/>
    <w:rsid w:val="00AB5FF0"/>
    <w:rsid w:val="00AB769E"/>
    <w:rsid w:val="00AC00EC"/>
    <w:rsid w:val="00AC061E"/>
    <w:rsid w:val="00AC071D"/>
    <w:rsid w:val="00AC0A51"/>
    <w:rsid w:val="00AC0A61"/>
    <w:rsid w:val="00AC12F1"/>
    <w:rsid w:val="00AC1931"/>
    <w:rsid w:val="00AC221E"/>
    <w:rsid w:val="00AC28CB"/>
    <w:rsid w:val="00AC2C2C"/>
    <w:rsid w:val="00AC4130"/>
    <w:rsid w:val="00AC4A65"/>
    <w:rsid w:val="00AC58B8"/>
    <w:rsid w:val="00AC6961"/>
    <w:rsid w:val="00AC6DE7"/>
    <w:rsid w:val="00AC75E0"/>
    <w:rsid w:val="00AC7D43"/>
    <w:rsid w:val="00AC7E8B"/>
    <w:rsid w:val="00AD1843"/>
    <w:rsid w:val="00AD1FEC"/>
    <w:rsid w:val="00AD2012"/>
    <w:rsid w:val="00AD42D8"/>
    <w:rsid w:val="00AD4430"/>
    <w:rsid w:val="00AD46A6"/>
    <w:rsid w:val="00AD524B"/>
    <w:rsid w:val="00AD5CC7"/>
    <w:rsid w:val="00AD66D8"/>
    <w:rsid w:val="00AD6DE2"/>
    <w:rsid w:val="00AD7961"/>
    <w:rsid w:val="00AD7BBE"/>
    <w:rsid w:val="00AE050A"/>
    <w:rsid w:val="00AE05A6"/>
    <w:rsid w:val="00AE1B0F"/>
    <w:rsid w:val="00AE22CC"/>
    <w:rsid w:val="00AE31EA"/>
    <w:rsid w:val="00AE3596"/>
    <w:rsid w:val="00AE3B75"/>
    <w:rsid w:val="00AE3E82"/>
    <w:rsid w:val="00AE470F"/>
    <w:rsid w:val="00AE5B89"/>
    <w:rsid w:val="00AE5F6D"/>
    <w:rsid w:val="00AE6120"/>
    <w:rsid w:val="00AE62A7"/>
    <w:rsid w:val="00AE67DF"/>
    <w:rsid w:val="00AE6AFA"/>
    <w:rsid w:val="00AE7090"/>
    <w:rsid w:val="00AE7A5C"/>
    <w:rsid w:val="00AF0196"/>
    <w:rsid w:val="00AF0A2F"/>
    <w:rsid w:val="00AF0E09"/>
    <w:rsid w:val="00AF0E8C"/>
    <w:rsid w:val="00AF1EAA"/>
    <w:rsid w:val="00AF2B22"/>
    <w:rsid w:val="00AF2CF8"/>
    <w:rsid w:val="00AF34A4"/>
    <w:rsid w:val="00AF3910"/>
    <w:rsid w:val="00AF40F0"/>
    <w:rsid w:val="00AF4EF6"/>
    <w:rsid w:val="00B038C0"/>
    <w:rsid w:val="00B053CD"/>
    <w:rsid w:val="00B102C0"/>
    <w:rsid w:val="00B1118D"/>
    <w:rsid w:val="00B11DF9"/>
    <w:rsid w:val="00B11F3C"/>
    <w:rsid w:val="00B125CB"/>
    <w:rsid w:val="00B15792"/>
    <w:rsid w:val="00B15E75"/>
    <w:rsid w:val="00B16595"/>
    <w:rsid w:val="00B167BF"/>
    <w:rsid w:val="00B21228"/>
    <w:rsid w:val="00B21411"/>
    <w:rsid w:val="00B214E3"/>
    <w:rsid w:val="00B218DB"/>
    <w:rsid w:val="00B21AA4"/>
    <w:rsid w:val="00B21B6B"/>
    <w:rsid w:val="00B224DE"/>
    <w:rsid w:val="00B22A68"/>
    <w:rsid w:val="00B23504"/>
    <w:rsid w:val="00B235C1"/>
    <w:rsid w:val="00B23927"/>
    <w:rsid w:val="00B24B11"/>
    <w:rsid w:val="00B262D9"/>
    <w:rsid w:val="00B26F37"/>
    <w:rsid w:val="00B30083"/>
    <w:rsid w:val="00B30C2D"/>
    <w:rsid w:val="00B311BC"/>
    <w:rsid w:val="00B318B7"/>
    <w:rsid w:val="00B3207D"/>
    <w:rsid w:val="00B32393"/>
    <w:rsid w:val="00B338CC"/>
    <w:rsid w:val="00B339A5"/>
    <w:rsid w:val="00B3468D"/>
    <w:rsid w:val="00B34904"/>
    <w:rsid w:val="00B34E99"/>
    <w:rsid w:val="00B352C7"/>
    <w:rsid w:val="00B35FAE"/>
    <w:rsid w:val="00B36107"/>
    <w:rsid w:val="00B36AA7"/>
    <w:rsid w:val="00B36BD2"/>
    <w:rsid w:val="00B37443"/>
    <w:rsid w:val="00B37CB3"/>
    <w:rsid w:val="00B41F6B"/>
    <w:rsid w:val="00B420A7"/>
    <w:rsid w:val="00B423D9"/>
    <w:rsid w:val="00B42CE0"/>
    <w:rsid w:val="00B44768"/>
    <w:rsid w:val="00B4572D"/>
    <w:rsid w:val="00B45B16"/>
    <w:rsid w:val="00B45C52"/>
    <w:rsid w:val="00B467CB"/>
    <w:rsid w:val="00B50520"/>
    <w:rsid w:val="00B50873"/>
    <w:rsid w:val="00B51AED"/>
    <w:rsid w:val="00B51DC2"/>
    <w:rsid w:val="00B5208C"/>
    <w:rsid w:val="00B53B92"/>
    <w:rsid w:val="00B54767"/>
    <w:rsid w:val="00B54D77"/>
    <w:rsid w:val="00B556C9"/>
    <w:rsid w:val="00B56CED"/>
    <w:rsid w:val="00B570A5"/>
    <w:rsid w:val="00B576FB"/>
    <w:rsid w:val="00B5793C"/>
    <w:rsid w:val="00B57B43"/>
    <w:rsid w:val="00B60162"/>
    <w:rsid w:val="00B60B82"/>
    <w:rsid w:val="00B60FEE"/>
    <w:rsid w:val="00B61801"/>
    <w:rsid w:val="00B61ED0"/>
    <w:rsid w:val="00B624B4"/>
    <w:rsid w:val="00B6277C"/>
    <w:rsid w:val="00B63864"/>
    <w:rsid w:val="00B641CF"/>
    <w:rsid w:val="00B650B3"/>
    <w:rsid w:val="00B65401"/>
    <w:rsid w:val="00B66DC4"/>
    <w:rsid w:val="00B66DEE"/>
    <w:rsid w:val="00B67DE0"/>
    <w:rsid w:val="00B70700"/>
    <w:rsid w:val="00B714FC"/>
    <w:rsid w:val="00B71BFF"/>
    <w:rsid w:val="00B72027"/>
    <w:rsid w:val="00B7246D"/>
    <w:rsid w:val="00B73044"/>
    <w:rsid w:val="00B73463"/>
    <w:rsid w:val="00B73961"/>
    <w:rsid w:val="00B73DF7"/>
    <w:rsid w:val="00B74592"/>
    <w:rsid w:val="00B76211"/>
    <w:rsid w:val="00B77058"/>
    <w:rsid w:val="00B77963"/>
    <w:rsid w:val="00B80550"/>
    <w:rsid w:val="00B80AD5"/>
    <w:rsid w:val="00B836E7"/>
    <w:rsid w:val="00B84ABB"/>
    <w:rsid w:val="00B85798"/>
    <w:rsid w:val="00B8647B"/>
    <w:rsid w:val="00B871A7"/>
    <w:rsid w:val="00B8758A"/>
    <w:rsid w:val="00B878E4"/>
    <w:rsid w:val="00B90ACA"/>
    <w:rsid w:val="00B90E67"/>
    <w:rsid w:val="00B9118F"/>
    <w:rsid w:val="00B91254"/>
    <w:rsid w:val="00B91CB3"/>
    <w:rsid w:val="00B91FB8"/>
    <w:rsid w:val="00B927ED"/>
    <w:rsid w:val="00B93B0A"/>
    <w:rsid w:val="00B94841"/>
    <w:rsid w:val="00B95083"/>
    <w:rsid w:val="00B95693"/>
    <w:rsid w:val="00B95943"/>
    <w:rsid w:val="00B95D94"/>
    <w:rsid w:val="00B963FC"/>
    <w:rsid w:val="00B96609"/>
    <w:rsid w:val="00B966A2"/>
    <w:rsid w:val="00B9715C"/>
    <w:rsid w:val="00BA0FB6"/>
    <w:rsid w:val="00BA1EA4"/>
    <w:rsid w:val="00BA257D"/>
    <w:rsid w:val="00BA2E26"/>
    <w:rsid w:val="00BA31D2"/>
    <w:rsid w:val="00BA35A5"/>
    <w:rsid w:val="00BA364F"/>
    <w:rsid w:val="00BA36A6"/>
    <w:rsid w:val="00BA3D86"/>
    <w:rsid w:val="00BA4731"/>
    <w:rsid w:val="00BA4E58"/>
    <w:rsid w:val="00BA5232"/>
    <w:rsid w:val="00BA6CD9"/>
    <w:rsid w:val="00BA761F"/>
    <w:rsid w:val="00BA7DAB"/>
    <w:rsid w:val="00BA7FAB"/>
    <w:rsid w:val="00BB001A"/>
    <w:rsid w:val="00BB0580"/>
    <w:rsid w:val="00BB0BFD"/>
    <w:rsid w:val="00BB0E96"/>
    <w:rsid w:val="00BB1049"/>
    <w:rsid w:val="00BB1BD2"/>
    <w:rsid w:val="00BB1FCE"/>
    <w:rsid w:val="00BB2A35"/>
    <w:rsid w:val="00BB37C0"/>
    <w:rsid w:val="00BB3D8E"/>
    <w:rsid w:val="00BB42A5"/>
    <w:rsid w:val="00BB450E"/>
    <w:rsid w:val="00BB4AAA"/>
    <w:rsid w:val="00BB6825"/>
    <w:rsid w:val="00BB7EAB"/>
    <w:rsid w:val="00BB7F87"/>
    <w:rsid w:val="00BC16A2"/>
    <w:rsid w:val="00BC1C4F"/>
    <w:rsid w:val="00BC20B2"/>
    <w:rsid w:val="00BC2301"/>
    <w:rsid w:val="00BC273C"/>
    <w:rsid w:val="00BC377B"/>
    <w:rsid w:val="00BC58F1"/>
    <w:rsid w:val="00BC614C"/>
    <w:rsid w:val="00BC7A80"/>
    <w:rsid w:val="00BD059D"/>
    <w:rsid w:val="00BD286C"/>
    <w:rsid w:val="00BD5811"/>
    <w:rsid w:val="00BD5961"/>
    <w:rsid w:val="00BD5987"/>
    <w:rsid w:val="00BD7488"/>
    <w:rsid w:val="00BD7D93"/>
    <w:rsid w:val="00BE0211"/>
    <w:rsid w:val="00BE1ED5"/>
    <w:rsid w:val="00BE27CD"/>
    <w:rsid w:val="00BE2A2D"/>
    <w:rsid w:val="00BE37A1"/>
    <w:rsid w:val="00BE515A"/>
    <w:rsid w:val="00BE65BA"/>
    <w:rsid w:val="00BE6634"/>
    <w:rsid w:val="00BE6CB9"/>
    <w:rsid w:val="00BE6DF4"/>
    <w:rsid w:val="00BE78A0"/>
    <w:rsid w:val="00BF1064"/>
    <w:rsid w:val="00BF3325"/>
    <w:rsid w:val="00BF3D7F"/>
    <w:rsid w:val="00BF40A6"/>
    <w:rsid w:val="00BF428E"/>
    <w:rsid w:val="00BF4E46"/>
    <w:rsid w:val="00BF4F03"/>
    <w:rsid w:val="00BF5333"/>
    <w:rsid w:val="00BF5341"/>
    <w:rsid w:val="00BF6102"/>
    <w:rsid w:val="00BF6536"/>
    <w:rsid w:val="00BF6DF7"/>
    <w:rsid w:val="00BF79E6"/>
    <w:rsid w:val="00BF7F84"/>
    <w:rsid w:val="00C00D6B"/>
    <w:rsid w:val="00C013EF"/>
    <w:rsid w:val="00C01BC6"/>
    <w:rsid w:val="00C01DE7"/>
    <w:rsid w:val="00C02086"/>
    <w:rsid w:val="00C0239C"/>
    <w:rsid w:val="00C02AB8"/>
    <w:rsid w:val="00C02CE2"/>
    <w:rsid w:val="00C038C1"/>
    <w:rsid w:val="00C03B9A"/>
    <w:rsid w:val="00C04B83"/>
    <w:rsid w:val="00C04EBB"/>
    <w:rsid w:val="00C052AA"/>
    <w:rsid w:val="00C05A5B"/>
    <w:rsid w:val="00C066D0"/>
    <w:rsid w:val="00C06908"/>
    <w:rsid w:val="00C07585"/>
    <w:rsid w:val="00C1001B"/>
    <w:rsid w:val="00C10C90"/>
    <w:rsid w:val="00C11D08"/>
    <w:rsid w:val="00C1347E"/>
    <w:rsid w:val="00C1453A"/>
    <w:rsid w:val="00C149A0"/>
    <w:rsid w:val="00C14DF4"/>
    <w:rsid w:val="00C166FF"/>
    <w:rsid w:val="00C16F33"/>
    <w:rsid w:val="00C17401"/>
    <w:rsid w:val="00C179CF"/>
    <w:rsid w:val="00C212BE"/>
    <w:rsid w:val="00C21D8F"/>
    <w:rsid w:val="00C223CA"/>
    <w:rsid w:val="00C2355A"/>
    <w:rsid w:val="00C251A1"/>
    <w:rsid w:val="00C25970"/>
    <w:rsid w:val="00C26422"/>
    <w:rsid w:val="00C266FD"/>
    <w:rsid w:val="00C27237"/>
    <w:rsid w:val="00C27FDB"/>
    <w:rsid w:val="00C30EAC"/>
    <w:rsid w:val="00C30F66"/>
    <w:rsid w:val="00C31E16"/>
    <w:rsid w:val="00C34458"/>
    <w:rsid w:val="00C34A7A"/>
    <w:rsid w:val="00C35503"/>
    <w:rsid w:val="00C37165"/>
    <w:rsid w:val="00C41E91"/>
    <w:rsid w:val="00C41F2B"/>
    <w:rsid w:val="00C422AC"/>
    <w:rsid w:val="00C42590"/>
    <w:rsid w:val="00C43D70"/>
    <w:rsid w:val="00C4473D"/>
    <w:rsid w:val="00C45227"/>
    <w:rsid w:val="00C45CBC"/>
    <w:rsid w:val="00C45CD2"/>
    <w:rsid w:val="00C46BC7"/>
    <w:rsid w:val="00C47D26"/>
    <w:rsid w:val="00C50FDE"/>
    <w:rsid w:val="00C513D4"/>
    <w:rsid w:val="00C51DE0"/>
    <w:rsid w:val="00C51DF8"/>
    <w:rsid w:val="00C52225"/>
    <w:rsid w:val="00C52FD2"/>
    <w:rsid w:val="00C53C27"/>
    <w:rsid w:val="00C54D57"/>
    <w:rsid w:val="00C576C1"/>
    <w:rsid w:val="00C60143"/>
    <w:rsid w:val="00C609B1"/>
    <w:rsid w:val="00C60B77"/>
    <w:rsid w:val="00C60FC5"/>
    <w:rsid w:val="00C6147B"/>
    <w:rsid w:val="00C61982"/>
    <w:rsid w:val="00C61AC5"/>
    <w:rsid w:val="00C63406"/>
    <w:rsid w:val="00C646D8"/>
    <w:rsid w:val="00C64D0E"/>
    <w:rsid w:val="00C659A9"/>
    <w:rsid w:val="00C65DAD"/>
    <w:rsid w:val="00C665A8"/>
    <w:rsid w:val="00C669A1"/>
    <w:rsid w:val="00C66C50"/>
    <w:rsid w:val="00C66E3F"/>
    <w:rsid w:val="00C66FD5"/>
    <w:rsid w:val="00C670BC"/>
    <w:rsid w:val="00C6791A"/>
    <w:rsid w:val="00C710E8"/>
    <w:rsid w:val="00C71152"/>
    <w:rsid w:val="00C71891"/>
    <w:rsid w:val="00C71A02"/>
    <w:rsid w:val="00C72556"/>
    <w:rsid w:val="00C72DA1"/>
    <w:rsid w:val="00C73455"/>
    <w:rsid w:val="00C75B73"/>
    <w:rsid w:val="00C76695"/>
    <w:rsid w:val="00C766A1"/>
    <w:rsid w:val="00C7696A"/>
    <w:rsid w:val="00C76BC7"/>
    <w:rsid w:val="00C76E94"/>
    <w:rsid w:val="00C76F2F"/>
    <w:rsid w:val="00C77024"/>
    <w:rsid w:val="00C770B6"/>
    <w:rsid w:val="00C77906"/>
    <w:rsid w:val="00C80364"/>
    <w:rsid w:val="00C80A37"/>
    <w:rsid w:val="00C814D9"/>
    <w:rsid w:val="00C814EB"/>
    <w:rsid w:val="00C8154E"/>
    <w:rsid w:val="00C8229D"/>
    <w:rsid w:val="00C82B2A"/>
    <w:rsid w:val="00C832DF"/>
    <w:rsid w:val="00C8365D"/>
    <w:rsid w:val="00C83B0F"/>
    <w:rsid w:val="00C847FE"/>
    <w:rsid w:val="00C867E2"/>
    <w:rsid w:val="00C870C0"/>
    <w:rsid w:val="00C872DC"/>
    <w:rsid w:val="00C901D4"/>
    <w:rsid w:val="00C90AD6"/>
    <w:rsid w:val="00C9106E"/>
    <w:rsid w:val="00C91183"/>
    <w:rsid w:val="00C91E0F"/>
    <w:rsid w:val="00C92814"/>
    <w:rsid w:val="00C92AEB"/>
    <w:rsid w:val="00C92C9B"/>
    <w:rsid w:val="00C93221"/>
    <w:rsid w:val="00C93395"/>
    <w:rsid w:val="00C94318"/>
    <w:rsid w:val="00C945B2"/>
    <w:rsid w:val="00C94E03"/>
    <w:rsid w:val="00C95ECA"/>
    <w:rsid w:val="00C964C4"/>
    <w:rsid w:val="00C96855"/>
    <w:rsid w:val="00C96874"/>
    <w:rsid w:val="00C96D18"/>
    <w:rsid w:val="00C97571"/>
    <w:rsid w:val="00CA168E"/>
    <w:rsid w:val="00CA2301"/>
    <w:rsid w:val="00CA274E"/>
    <w:rsid w:val="00CA2E88"/>
    <w:rsid w:val="00CA40E0"/>
    <w:rsid w:val="00CA66E4"/>
    <w:rsid w:val="00CA6888"/>
    <w:rsid w:val="00CA69AC"/>
    <w:rsid w:val="00CA69DD"/>
    <w:rsid w:val="00CA6E20"/>
    <w:rsid w:val="00CA7CB7"/>
    <w:rsid w:val="00CB0F10"/>
    <w:rsid w:val="00CB1A8D"/>
    <w:rsid w:val="00CB1BA3"/>
    <w:rsid w:val="00CB310F"/>
    <w:rsid w:val="00CB3154"/>
    <w:rsid w:val="00CB4BF3"/>
    <w:rsid w:val="00CB5E02"/>
    <w:rsid w:val="00CB5F6F"/>
    <w:rsid w:val="00CB67F6"/>
    <w:rsid w:val="00CC0226"/>
    <w:rsid w:val="00CC0899"/>
    <w:rsid w:val="00CC1839"/>
    <w:rsid w:val="00CC183A"/>
    <w:rsid w:val="00CC2227"/>
    <w:rsid w:val="00CC2586"/>
    <w:rsid w:val="00CC2714"/>
    <w:rsid w:val="00CC2784"/>
    <w:rsid w:val="00CC291C"/>
    <w:rsid w:val="00CC2F50"/>
    <w:rsid w:val="00CC3D9D"/>
    <w:rsid w:val="00CC3DBD"/>
    <w:rsid w:val="00CC570A"/>
    <w:rsid w:val="00CC5786"/>
    <w:rsid w:val="00CC6100"/>
    <w:rsid w:val="00CC6D3B"/>
    <w:rsid w:val="00CD349E"/>
    <w:rsid w:val="00CD478C"/>
    <w:rsid w:val="00CD4827"/>
    <w:rsid w:val="00CD4934"/>
    <w:rsid w:val="00CD4C8E"/>
    <w:rsid w:val="00CD4D57"/>
    <w:rsid w:val="00CD5B4E"/>
    <w:rsid w:val="00CD7ACF"/>
    <w:rsid w:val="00CD7E23"/>
    <w:rsid w:val="00CE241E"/>
    <w:rsid w:val="00CE2504"/>
    <w:rsid w:val="00CE3FA3"/>
    <w:rsid w:val="00CE41CD"/>
    <w:rsid w:val="00CE4434"/>
    <w:rsid w:val="00CE4943"/>
    <w:rsid w:val="00CE4992"/>
    <w:rsid w:val="00CE5194"/>
    <w:rsid w:val="00CE55BF"/>
    <w:rsid w:val="00CE62AE"/>
    <w:rsid w:val="00CE7C6F"/>
    <w:rsid w:val="00CE7D9B"/>
    <w:rsid w:val="00CF1B4F"/>
    <w:rsid w:val="00CF2C7F"/>
    <w:rsid w:val="00CF48D8"/>
    <w:rsid w:val="00CF4EAF"/>
    <w:rsid w:val="00CF6491"/>
    <w:rsid w:val="00CF67EE"/>
    <w:rsid w:val="00CF6874"/>
    <w:rsid w:val="00CF6973"/>
    <w:rsid w:val="00CF6ED1"/>
    <w:rsid w:val="00CF7207"/>
    <w:rsid w:val="00CF777C"/>
    <w:rsid w:val="00D0031C"/>
    <w:rsid w:val="00D00FFA"/>
    <w:rsid w:val="00D01896"/>
    <w:rsid w:val="00D0225C"/>
    <w:rsid w:val="00D023AC"/>
    <w:rsid w:val="00D0244E"/>
    <w:rsid w:val="00D02627"/>
    <w:rsid w:val="00D02765"/>
    <w:rsid w:val="00D02A1D"/>
    <w:rsid w:val="00D038EE"/>
    <w:rsid w:val="00D043A2"/>
    <w:rsid w:val="00D043D7"/>
    <w:rsid w:val="00D04467"/>
    <w:rsid w:val="00D0524F"/>
    <w:rsid w:val="00D056AC"/>
    <w:rsid w:val="00D05708"/>
    <w:rsid w:val="00D05F50"/>
    <w:rsid w:val="00D0690B"/>
    <w:rsid w:val="00D10288"/>
    <w:rsid w:val="00D103A6"/>
    <w:rsid w:val="00D116DF"/>
    <w:rsid w:val="00D11D0D"/>
    <w:rsid w:val="00D11E0D"/>
    <w:rsid w:val="00D11EC5"/>
    <w:rsid w:val="00D1235A"/>
    <w:rsid w:val="00D124E4"/>
    <w:rsid w:val="00D126BE"/>
    <w:rsid w:val="00D12E03"/>
    <w:rsid w:val="00D149E7"/>
    <w:rsid w:val="00D150D2"/>
    <w:rsid w:val="00D150DE"/>
    <w:rsid w:val="00D15F63"/>
    <w:rsid w:val="00D165DC"/>
    <w:rsid w:val="00D16B22"/>
    <w:rsid w:val="00D17C72"/>
    <w:rsid w:val="00D2060D"/>
    <w:rsid w:val="00D2275A"/>
    <w:rsid w:val="00D237AB"/>
    <w:rsid w:val="00D2542F"/>
    <w:rsid w:val="00D257BC"/>
    <w:rsid w:val="00D26301"/>
    <w:rsid w:val="00D2719A"/>
    <w:rsid w:val="00D272E0"/>
    <w:rsid w:val="00D2747C"/>
    <w:rsid w:val="00D32018"/>
    <w:rsid w:val="00D324CE"/>
    <w:rsid w:val="00D338CA"/>
    <w:rsid w:val="00D35C1F"/>
    <w:rsid w:val="00D36939"/>
    <w:rsid w:val="00D36CF7"/>
    <w:rsid w:val="00D37C26"/>
    <w:rsid w:val="00D403CD"/>
    <w:rsid w:val="00D40ACF"/>
    <w:rsid w:val="00D441A1"/>
    <w:rsid w:val="00D453C8"/>
    <w:rsid w:val="00D455CC"/>
    <w:rsid w:val="00D456EB"/>
    <w:rsid w:val="00D46A14"/>
    <w:rsid w:val="00D47774"/>
    <w:rsid w:val="00D47899"/>
    <w:rsid w:val="00D50DDB"/>
    <w:rsid w:val="00D511BB"/>
    <w:rsid w:val="00D51612"/>
    <w:rsid w:val="00D5221A"/>
    <w:rsid w:val="00D525CB"/>
    <w:rsid w:val="00D5320F"/>
    <w:rsid w:val="00D55575"/>
    <w:rsid w:val="00D557B5"/>
    <w:rsid w:val="00D5626F"/>
    <w:rsid w:val="00D5735E"/>
    <w:rsid w:val="00D62041"/>
    <w:rsid w:val="00D6229F"/>
    <w:rsid w:val="00D62BBC"/>
    <w:rsid w:val="00D63582"/>
    <w:rsid w:val="00D6535B"/>
    <w:rsid w:val="00D65F50"/>
    <w:rsid w:val="00D66535"/>
    <w:rsid w:val="00D66D89"/>
    <w:rsid w:val="00D66EE8"/>
    <w:rsid w:val="00D6701A"/>
    <w:rsid w:val="00D67240"/>
    <w:rsid w:val="00D674CC"/>
    <w:rsid w:val="00D67793"/>
    <w:rsid w:val="00D7015E"/>
    <w:rsid w:val="00D701F7"/>
    <w:rsid w:val="00D712E7"/>
    <w:rsid w:val="00D71C5B"/>
    <w:rsid w:val="00D7276E"/>
    <w:rsid w:val="00D730A6"/>
    <w:rsid w:val="00D73638"/>
    <w:rsid w:val="00D7376C"/>
    <w:rsid w:val="00D73C04"/>
    <w:rsid w:val="00D73F9D"/>
    <w:rsid w:val="00D740DA"/>
    <w:rsid w:val="00D74871"/>
    <w:rsid w:val="00D74882"/>
    <w:rsid w:val="00D754E7"/>
    <w:rsid w:val="00D755EE"/>
    <w:rsid w:val="00D75F76"/>
    <w:rsid w:val="00D765E0"/>
    <w:rsid w:val="00D770A0"/>
    <w:rsid w:val="00D77448"/>
    <w:rsid w:val="00D77B6A"/>
    <w:rsid w:val="00D77F40"/>
    <w:rsid w:val="00D804C9"/>
    <w:rsid w:val="00D805C9"/>
    <w:rsid w:val="00D8244B"/>
    <w:rsid w:val="00D826D7"/>
    <w:rsid w:val="00D82CBE"/>
    <w:rsid w:val="00D83433"/>
    <w:rsid w:val="00D8380D"/>
    <w:rsid w:val="00D83949"/>
    <w:rsid w:val="00D83E04"/>
    <w:rsid w:val="00D8406C"/>
    <w:rsid w:val="00D8434C"/>
    <w:rsid w:val="00D8492B"/>
    <w:rsid w:val="00D852F1"/>
    <w:rsid w:val="00D86EAC"/>
    <w:rsid w:val="00D87BF9"/>
    <w:rsid w:val="00D906DC"/>
    <w:rsid w:val="00D9077B"/>
    <w:rsid w:val="00D90A58"/>
    <w:rsid w:val="00D90DF0"/>
    <w:rsid w:val="00D92349"/>
    <w:rsid w:val="00D92D7E"/>
    <w:rsid w:val="00D9670D"/>
    <w:rsid w:val="00D96801"/>
    <w:rsid w:val="00D97650"/>
    <w:rsid w:val="00DA3547"/>
    <w:rsid w:val="00DA5930"/>
    <w:rsid w:val="00DA59E9"/>
    <w:rsid w:val="00DA6416"/>
    <w:rsid w:val="00DA68CD"/>
    <w:rsid w:val="00DA6EDC"/>
    <w:rsid w:val="00DA74B6"/>
    <w:rsid w:val="00DA767E"/>
    <w:rsid w:val="00DB0119"/>
    <w:rsid w:val="00DB0839"/>
    <w:rsid w:val="00DB16EE"/>
    <w:rsid w:val="00DB377D"/>
    <w:rsid w:val="00DB37EE"/>
    <w:rsid w:val="00DB5A23"/>
    <w:rsid w:val="00DB642E"/>
    <w:rsid w:val="00DB654A"/>
    <w:rsid w:val="00DB6861"/>
    <w:rsid w:val="00DB74AF"/>
    <w:rsid w:val="00DB7725"/>
    <w:rsid w:val="00DC0B0F"/>
    <w:rsid w:val="00DC0EDE"/>
    <w:rsid w:val="00DC1FB1"/>
    <w:rsid w:val="00DC21B7"/>
    <w:rsid w:val="00DC2807"/>
    <w:rsid w:val="00DC3188"/>
    <w:rsid w:val="00DC3912"/>
    <w:rsid w:val="00DC49C3"/>
    <w:rsid w:val="00DC50B7"/>
    <w:rsid w:val="00DC5AE4"/>
    <w:rsid w:val="00DC65A0"/>
    <w:rsid w:val="00DC7725"/>
    <w:rsid w:val="00DD0B9D"/>
    <w:rsid w:val="00DD0EE9"/>
    <w:rsid w:val="00DD147D"/>
    <w:rsid w:val="00DD15AE"/>
    <w:rsid w:val="00DD1A4C"/>
    <w:rsid w:val="00DD1D98"/>
    <w:rsid w:val="00DD2021"/>
    <w:rsid w:val="00DD243B"/>
    <w:rsid w:val="00DD3826"/>
    <w:rsid w:val="00DD565E"/>
    <w:rsid w:val="00DD5BC9"/>
    <w:rsid w:val="00DD67BD"/>
    <w:rsid w:val="00DD6816"/>
    <w:rsid w:val="00DD6F3D"/>
    <w:rsid w:val="00DE05D4"/>
    <w:rsid w:val="00DE0C60"/>
    <w:rsid w:val="00DE1F99"/>
    <w:rsid w:val="00DE256E"/>
    <w:rsid w:val="00DE2C92"/>
    <w:rsid w:val="00DE2FC8"/>
    <w:rsid w:val="00DE591C"/>
    <w:rsid w:val="00DE77BC"/>
    <w:rsid w:val="00DE7CD2"/>
    <w:rsid w:val="00DF0591"/>
    <w:rsid w:val="00DF08E7"/>
    <w:rsid w:val="00DF2E9A"/>
    <w:rsid w:val="00DF463A"/>
    <w:rsid w:val="00DF467F"/>
    <w:rsid w:val="00DF4E8F"/>
    <w:rsid w:val="00DF5B8D"/>
    <w:rsid w:val="00DF6123"/>
    <w:rsid w:val="00E00FA8"/>
    <w:rsid w:val="00E016B9"/>
    <w:rsid w:val="00E01B23"/>
    <w:rsid w:val="00E02896"/>
    <w:rsid w:val="00E02CF8"/>
    <w:rsid w:val="00E0323D"/>
    <w:rsid w:val="00E06058"/>
    <w:rsid w:val="00E060BC"/>
    <w:rsid w:val="00E06A3A"/>
    <w:rsid w:val="00E06BB6"/>
    <w:rsid w:val="00E06DA9"/>
    <w:rsid w:val="00E0759C"/>
    <w:rsid w:val="00E07F9D"/>
    <w:rsid w:val="00E11271"/>
    <w:rsid w:val="00E12329"/>
    <w:rsid w:val="00E128CC"/>
    <w:rsid w:val="00E1302C"/>
    <w:rsid w:val="00E13320"/>
    <w:rsid w:val="00E14ACF"/>
    <w:rsid w:val="00E15691"/>
    <w:rsid w:val="00E15875"/>
    <w:rsid w:val="00E15BBE"/>
    <w:rsid w:val="00E15ED0"/>
    <w:rsid w:val="00E16225"/>
    <w:rsid w:val="00E16718"/>
    <w:rsid w:val="00E17ABB"/>
    <w:rsid w:val="00E17EC0"/>
    <w:rsid w:val="00E20CDF"/>
    <w:rsid w:val="00E21F84"/>
    <w:rsid w:val="00E22CF4"/>
    <w:rsid w:val="00E2328C"/>
    <w:rsid w:val="00E2385E"/>
    <w:rsid w:val="00E24592"/>
    <w:rsid w:val="00E2478F"/>
    <w:rsid w:val="00E256D3"/>
    <w:rsid w:val="00E25847"/>
    <w:rsid w:val="00E26AC9"/>
    <w:rsid w:val="00E304A8"/>
    <w:rsid w:val="00E312B1"/>
    <w:rsid w:val="00E31477"/>
    <w:rsid w:val="00E3228E"/>
    <w:rsid w:val="00E323EA"/>
    <w:rsid w:val="00E33003"/>
    <w:rsid w:val="00E3318C"/>
    <w:rsid w:val="00E33619"/>
    <w:rsid w:val="00E3397E"/>
    <w:rsid w:val="00E3464C"/>
    <w:rsid w:val="00E353D8"/>
    <w:rsid w:val="00E3644D"/>
    <w:rsid w:val="00E36C80"/>
    <w:rsid w:val="00E36FFA"/>
    <w:rsid w:val="00E3706E"/>
    <w:rsid w:val="00E37B6E"/>
    <w:rsid w:val="00E406D9"/>
    <w:rsid w:val="00E40BFE"/>
    <w:rsid w:val="00E412AB"/>
    <w:rsid w:val="00E42830"/>
    <w:rsid w:val="00E42F80"/>
    <w:rsid w:val="00E439DE"/>
    <w:rsid w:val="00E46126"/>
    <w:rsid w:val="00E461E0"/>
    <w:rsid w:val="00E4670B"/>
    <w:rsid w:val="00E472EE"/>
    <w:rsid w:val="00E477C6"/>
    <w:rsid w:val="00E500F3"/>
    <w:rsid w:val="00E50363"/>
    <w:rsid w:val="00E52850"/>
    <w:rsid w:val="00E52ED6"/>
    <w:rsid w:val="00E53E09"/>
    <w:rsid w:val="00E5410D"/>
    <w:rsid w:val="00E5452A"/>
    <w:rsid w:val="00E54C04"/>
    <w:rsid w:val="00E54E1D"/>
    <w:rsid w:val="00E55885"/>
    <w:rsid w:val="00E55B76"/>
    <w:rsid w:val="00E55BD4"/>
    <w:rsid w:val="00E5621B"/>
    <w:rsid w:val="00E562A0"/>
    <w:rsid w:val="00E56F44"/>
    <w:rsid w:val="00E5724C"/>
    <w:rsid w:val="00E57741"/>
    <w:rsid w:val="00E57C98"/>
    <w:rsid w:val="00E57D72"/>
    <w:rsid w:val="00E6060C"/>
    <w:rsid w:val="00E62011"/>
    <w:rsid w:val="00E622A6"/>
    <w:rsid w:val="00E63C99"/>
    <w:rsid w:val="00E63F26"/>
    <w:rsid w:val="00E63F43"/>
    <w:rsid w:val="00E64FDC"/>
    <w:rsid w:val="00E6547C"/>
    <w:rsid w:val="00E65665"/>
    <w:rsid w:val="00E6621A"/>
    <w:rsid w:val="00E663C6"/>
    <w:rsid w:val="00E66B92"/>
    <w:rsid w:val="00E66BD1"/>
    <w:rsid w:val="00E67636"/>
    <w:rsid w:val="00E67E0B"/>
    <w:rsid w:val="00E70D4C"/>
    <w:rsid w:val="00E710AA"/>
    <w:rsid w:val="00E72015"/>
    <w:rsid w:val="00E728A0"/>
    <w:rsid w:val="00E737B6"/>
    <w:rsid w:val="00E74018"/>
    <w:rsid w:val="00E75851"/>
    <w:rsid w:val="00E75DAE"/>
    <w:rsid w:val="00E76021"/>
    <w:rsid w:val="00E76454"/>
    <w:rsid w:val="00E764B2"/>
    <w:rsid w:val="00E76564"/>
    <w:rsid w:val="00E76AC0"/>
    <w:rsid w:val="00E77C20"/>
    <w:rsid w:val="00E80E31"/>
    <w:rsid w:val="00E816C2"/>
    <w:rsid w:val="00E81777"/>
    <w:rsid w:val="00E81798"/>
    <w:rsid w:val="00E81900"/>
    <w:rsid w:val="00E81AF1"/>
    <w:rsid w:val="00E81D5C"/>
    <w:rsid w:val="00E83294"/>
    <w:rsid w:val="00E83508"/>
    <w:rsid w:val="00E838D3"/>
    <w:rsid w:val="00E83A19"/>
    <w:rsid w:val="00E87878"/>
    <w:rsid w:val="00E90434"/>
    <w:rsid w:val="00E90AD1"/>
    <w:rsid w:val="00E90C1B"/>
    <w:rsid w:val="00E91454"/>
    <w:rsid w:val="00E91D40"/>
    <w:rsid w:val="00E9223C"/>
    <w:rsid w:val="00E92671"/>
    <w:rsid w:val="00E93BE3"/>
    <w:rsid w:val="00E93D39"/>
    <w:rsid w:val="00E9401C"/>
    <w:rsid w:val="00E94421"/>
    <w:rsid w:val="00E94A07"/>
    <w:rsid w:val="00E95AF7"/>
    <w:rsid w:val="00E96884"/>
    <w:rsid w:val="00E97555"/>
    <w:rsid w:val="00EA094D"/>
    <w:rsid w:val="00EA0D50"/>
    <w:rsid w:val="00EA1BFE"/>
    <w:rsid w:val="00EA20E3"/>
    <w:rsid w:val="00EA21A2"/>
    <w:rsid w:val="00EA25FB"/>
    <w:rsid w:val="00EA26BB"/>
    <w:rsid w:val="00EA339D"/>
    <w:rsid w:val="00EA37D3"/>
    <w:rsid w:val="00EA3A16"/>
    <w:rsid w:val="00EA5DF4"/>
    <w:rsid w:val="00EA66D0"/>
    <w:rsid w:val="00EA7753"/>
    <w:rsid w:val="00EA7A8B"/>
    <w:rsid w:val="00EB0A19"/>
    <w:rsid w:val="00EB0C28"/>
    <w:rsid w:val="00EB0D36"/>
    <w:rsid w:val="00EB171B"/>
    <w:rsid w:val="00EB1DEF"/>
    <w:rsid w:val="00EB2102"/>
    <w:rsid w:val="00EB28E2"/>
    <w:rsid w:val="00EB2E9B"/>
    <w:rsid w:val="00EB3A23"/>
    <w:rsid w:val="00EB4944"/>
    <w:rsid w:val="00EB6FD9"/>
    <w:rsid w:val="00EB7275"/>
    <w:rsid w:val="00EB7708"/>
    <w:rsid w:val="00EC1839"/>
    <w:rsid w:val="00EC1B1C"/>
    <w:rsid w:val="00EC1E75"/>
    <w:rsid w:val="00EC4398"/>
    <w:rsid w:val="00EC5818"/>
    <w:rsid w:val="00EC662F"/>
    <w:rsid w:val="00EC6D93"/>
    <w:rsid w:val="00EC71D9"/>
    <w:rsid w:val="00ED183B"/>
    <w:rsid w:val="00ED2F16"/>
    <w:rsid w:val="00ED32A6"/>
    <w:rsid w:val="00ED3D28"/>
    <w:rsid w:val="00ED4347"/>
    <w:rsid w:val="00ED4B41"/>
    <w:rsid w:val="00ED5769"/>
    <w:rsid w:val="00ED57DC"/>
    <w:rsid w:val="00ED5CF1"/>
    <w:rsid w:val="00ED7089"/>
    <w:rsid w:val="00EE0256"/>
    <w:rsid w:val="00EE05C1"/>
    <w:rsid w:val="00EE1029"/>
    <w:rsid w:val="00EE1555"/>
    <w:rsid w:val="00EE232B"/>
    <w:rsid w:val="00EE235E"/>
    <w:rsid w:val="00EE3ECF"/>
    <w:rsid w:val="00EE3F7F"/>
    <w:rsid w:val="00EE56B4"/>
    <w:rsid w:val="00EE5B6E"/>
    <w:rsid w:val="00EF1388"/>
    <w:rsid w:val="00EF1F35"/>
    <w:rsid w:val="00EF2F99"/>
    <w:rsid w:val="00EF440E"/>
    <w:rsid w:val="00EF569B"/>
    <w:rsid w:val="00EF6342"/>
    <w:rsid w:val="00EF69EE"/>
    <w:rsid w:val="00EF6AFA"/>
    <w:rsid w:val="00EF6C99"/>
    <w:rsid w:val="00EF7DE1"/>
    <w:rsid w:val="00F00823"/>
    <w:rsid w:val="00F0294B"/>
    <w:rsid w:val="00F02E88"/>
    <w:rsid w:val="00F0307C"/>
    <w:rsid w:val="00F0318D"/>
    <w:rsid w:val="00F03E28"/>
    <w:rsid w:val="00F04749"/>
    <w:rsid w:val="00F04F6D"/>
    <w:rsid w:val="00F052DC"/>
    <w:rsid w:val="00F0669A"/>
    <w:rsid w:val="00F06A59"/>
    <w:rsid w:val="00F06C9E"/>
    <w:rsid w:val="00F0CA85"/>
    <w:rsid w:val="00F10A24"/>
    <w:rsid w:val="00F110C7"/>
    <w:rsid w:val="00F11AFF"/>
    <w:rsid w:val="00F11BA4"/>
    <w:rsid w:val="00F128BB"/>
    <w:rsid w:val="00F13240"/>
    <w:rsid w:val="00F14797"/>
    <w:rsid w:val="00F15D0A"/>
    <w:rsid w:val="00F169DE"/>
    <w:rsid w:val="00F171AE"/>
    <w:rsid w:val="00F1764F"/>
    <w:rsid w:val="00F21992"/>
    <w:rsid w:val="00F22875"/>
    <w:rsid w:val="00F229F0"/>
    <w:rsid w:val="00F238C0"/>
    <w:rsid w:val="00F23B40"/>
    <w:rsid w:val="00F23BC1"/>
    <w:rsid w:val="00F24130"/>
    <w:rsid w:val="00F24B53"/>
    <w:rsid w:val="00F24DB7"/>
    <w:rsid w:val="00F250D7"/>
    <w:rsid w:val="00F25777"/>
    <w:rsid w:val="00F26E27"/>
    <w:rsid w:val="00F2723B"/>
    <w:rsid w:val="00F27EB9"/>
    <w:rsid w:val="00F27FAB"/>
    <w:rsid w:val="00F30DCC"/>
    <w:rsid w:val="00F317C5"/>
    <w:rsid w:val="00F3264C"/>
    <w:rsid w:val="00F32722"/>
    <w:rsid w:val="00F32D39"/>
    <w:rsid w:val="00F332E9"/>
    <w:rsid w:val="00F33AA9"/>
    <w:rsid w:val="00F348C4"/>
    <w:rsid w:val="00F34C61"/>
    <w:rsid w:val="00F35101"/>
    <w:rsid w:val="00F351CB"/>
    <w:rsid w:val="00F3576C"/>
    <w:rsid w:val="00F3590B"/>
    <w:rsid w:val="00F361F1"/>
    <w:rsid w:val="00F36D2E"/>
    <w:rsid w:val="00F3700A"/>
    <w:rsid w:val="00F37323"/>
    <w:rsid w:val="00F378DF"/>
    <w:rsid w:val="00F37B94"/>
    <w:rsid w:val="00F37C5A"/>
    <w:rsid w:val="00F40BF4"/>
    <w:rsid w:val="00F40CE1"/>
    <w:rsid w:val="00F40E23"/>
    <w:rsid w:val="00F41095"/>
    <w:rsid w:val="00F41716"/>
    <w:rsid w:val="00F41BBE"/>
    <w:rsid w:val="00F43D11"/>
    <w:rsid w:val="00F442F4"/>
    <w:rsid w:val="00F4461C"/>
    <w:rsid w:val="00F44CB0"/>
    <w:rsid w:val="00F45627"/>
    <w:rsid w:val="00F45A94"/>
    <w:rsid w:val="00F45B50"/>
    <w:rsid w:val="00F46847"/>
    <w:rsid w:val="00F474C1"/>
    <w:rsid w:val="00F47808"/>
    <w:rsid w:val="00F47C6C"/>
    <w:rsid w:val="00F5001B"/>
    <w:rsid w:val="00F5018D"/>
    <w:rsid w:val="00F52721"/>
    <w:rsid w:val="00F5286A"/>
    <w:rsid w:val="00F5345A"/>
    <w:rsid w:val="00F53898"/>
    <w:rsid w:val="00F53DAD"/>
    <w:rsid w:val="00F546EB"/>
    <w:rsid w:val="00F54941"/>
    <w:rsid w:val="00F5548A"/>
    <w:rsid w:val="00F55C9B"/>
    <w:rsid w:val="00F56137"/>
    <w:rsid w:val="00F56DF8"/>
    <w:rsid w:val="00F56F2C"/>
    <w:rsid w:val="00F576B0"/>
    <w:rsid w:val="00F5770B"/>
    <w:rsid w:val="00F60121"/>
    <w:rsid w:val="00F60250"/>
    <w:rsid w:val="00F612D0"/>
    <w:rsid w:val="00F61AC8"/>
    <w:rsid w:val="00F62D38"/>
    <w:rsid w:val="00F630C1"/>
    <w:rsid w:val="00F637E2"/>
    <w:rsid w:val="00F63C3C"/>
    <w:rsid w:val="00F65789"/>
    <w:rsid w:val="00F65D7B"/>
    <w:rsid w:val="00F65DBE"/>
    <w:rsid w:val="00F67F88"/>
    <w:rsid w:val="00F70417"/>
    <w:rsid w:val="00F705A0"/>
    <w:rsid w:val="00F706ED"/>
    <w:rsid w:val="00F708A9"/>
    <w:rsid w:val="00F71665"/>
    <w:rsid w:val="00F71744"/>
    <w:rsid w:val="00F71C85"/>
    <w:rsid w:val="00F71F4E"/>
    <w:rsid w:val="00F74DBC"/>
    <w:rsid w:val="00F751F3"/>
    <w:rsid w:val="00F75A8A"/>
    <w:rsid w:val="00F760A4"/>
    <w:rsid w:val="00F76534"/>
    <w:rsid w:val="00F76930"/>
    <w:rsid w:val="00F777C1"/>
    <w:rsid w:val="00F8177B"/>
    <w:rsid w:val="00F81E13"/>
    <w:rsid w:val="00F82019"/>
    <w:rsid w:val="00F82225"/>
    <w:rsid w:val="00F82881"/>
    <w:rsid w:val="00F82C68"/>
    <w:rsid w:val="00F850FB"/>
    <w:rsid w:val="00F85788"/>
    <w:rsid w:val="00F85935"/>
    <w:rsid w:val="00F860CC"/>
    <w:rsid w:val="00F870CF"/>
    <w:rsid w:val="00F879B2"/>
    <w:rsid w:val="00F87C13"/>
    <w:rsid w:val="00F90386"/>
    <w:rsid w:val="00F903EF"/>
    <w:rsid w:val="00F91207"/>
    <w:rsid w:val="00F917AD"/>
    <w:rsid w:val="00F9182E"/>
    <w:rsid w:val="00F92AF6"/>
    <w:rsid w:val="00F931F9"/>
    <w:rsid w:val="00F932E3"/>
    <w:rsid w:val="00F93A91"/>
    <w:rsid w:val="00F93B35"/>
    <w:rsid w:val="00F93FE4"/>
    <w:rsid w:val="00F94026"/>
    <w:rsid w:val="00F94745"/>
    <w:rsid w:val="00F95A94"/>
    <w:rsid w:val="00F963E7"/>
    <w:rsid w:val="00F967F6"/>
    <w:rsid w:val="00F96ECD"/>
    <w:rsid w:val="00F9723A"/>
    <w:rsid w:val="00F972C3"/>
    <w:rsid w:val="00F974D5"/>
    <w:rsid w:val="00F97540"/>
    <w:rsid w:val="00FA0C94"/>
    <w:rsid w:val="00FA2E8B"/>
    <w:rsid w:val="00FA3081"/>
    <w:rsid w:val="00FA3F6B"/>
    <w:rsid w:val="00FA422B"/>
    <w:rsid w:val="00FA5902"/>
    <w:rsid w:val="00FA5AC7"/>
    <w:rsid w:val="00FA5B17"/>
    <w:rsid w:val="00FA654E"/>
    <w:rsid w:val="00FA6A5E"/>
    <w:rsid w:val="00FA72F6"/>
    <w:rsid w:val="00FA7D40"/>
    <w:rsid w:val="00FB0AB6"/>
    <w:rsid w:val="00FB1ACC"/>
    <w:rsid w:val="00FB2471"/>
    <w:rsid w:val="00FB383D"/>
    <w:rsid w:val="00FB40A2"/>
    <w:rsid w:val="00FB553B"/>
    <w:rsid w:val="00FB5546"/>
    <w:rsid w:val="00FB6663"/>
    <w:rsid w:val="00FB6B6E"/>
    <w:rsid w:val="00FB75D9"/>
    <w:rsid w:val="00FB7E9C"/>
    <w:rsid w:val="00FC0436"/>
    <w:rsid w:val="00FC1121"/>
    <w:rsid w:val="00FC3C2C"/>
    <w:rsid w:val="00FC4451"/>
    <w:rsid w:val="00FC5DE4"/>
    <w:rsid w:val="00FC6139"/>
    <w:rsid w:val="00FC76F9"/>
    <w:rsid w:val="00FC7DDB"/>
    <w:rsid w:val="00FD1888"/>
    <w:rsid w:val="00FD2008"/>
    <w:rsid w:val="00FD2848"/>
    <w:rsid w:val="00FD2AA7"/>
    <w:rsid w:val="00FD2C57"/>
    <w:rsid w:val="00FD38CA"/>
    <w:rsid w:val="00FD4745"/>
    <w:rsid w:val="00FD565D"/>
    <w:rsid w:val="00FD59EC"/>
    <w:rsid w:val="00FD5F36"/>
    <w:rsid w:val="00FD7C02"/>
    <w:rsid w:val="00FE03BA"/>
    <w:rsid w:val="00FE09A7"/>
    <w:rsid w:val="00FE0E7F"/>
    <w:rsid w:val="00FE11E2"/>
    <w:rsid w:val="00FE15A4"/>
    <w:rsid w:val="00FE2605"/>
    <w:rsid w:val="00FE2BA5"/>
    <w:rsid w:val="00FE2C14"/>
    <w:rsid w:val="00FE2CDE"/>
    <w:rsid w:val="00FE35EB"/>
    <w:rsid w:val="00FE39E0"/>
    <w:rsid w:val="00FE3BF0"/>
    <w:rsid w:val="00FE3EC1"/>
    <w:rsid w:val="00FE4A69"/>
    <w:rsid w:val="00FE4FDE"/>
    <w:rsid w:val="00FE5344"/>
    <w:rsid w:val="00FE59A7"/>
    <w:rsid w:val="00FE6172"/>
    <w:rsid w:val="00FF0107"/>
    <w:rsid w:val="00FF03D8"/>
    <w:rsid w:val="00FF09D4"/>
    <w:rsid w:val="00FF0A64"/>
    <w:rsid w:val="00FF2C1F"/>
    <w:rsid w:val="00FF3098"/>
    <w:rsid w:val="00FF3C8A"/>
    <w:rsid w:val="00FF4769"/>
    <w:rsid w:val="00FF6885"/>
    <w:rsid w:val="00FF766E"/>
    <w:rsid w:val="00FF7CF4"/>
    <w:rsid w:val="016374C4"/>
    <w:rsid w:val="01680D3B"/>
    <w:rsid w:val="019EBDA2"/>
    <w:rsid w:val="01A49E51"/>
    <w:rsid w:val="01E5D180"/>
    <w:rsid w:val="02094A93"/>
    <w:rsid w:val="022C1C45"/>
    <w:rsid w:val="022F6ADA"/>
    <w:rsid w:val="02C557EF"/>
    <w:rsid w:val="0314E1FD"/>
    <w:rsid w:val="0344DC77"/>
    <w:rsid w:val="03CF232E"/>
    <w:rsid w:val="03E11DFC"/>
    <w:rsid w:val="041092E3"/>
    <w:rsid w:val="04128AE6"/>
    <w:rsid w:val="048921BD"/>
    <w:rsid w:val="05591E27"/>
    <w:rsid w:val="056AF38F"/>
    <w:rsid w:val="05AAA734"/>
    <w:rsid w:val="06102ECD"/>
    <w:rsid w:val="06134969"/>
    <w:rsid w:val="06189EEC"/>
    <w:rsid w:val="062335DE"/>
    <w:rsid w:val="062A9B1B"/>
    <w:rsid w:val="0648EB57"/>
    <w:rsid w:val="0653A2FA"/>
    <w:rsid w:val="0677E9F0"/>
    <w:rsid w:val="06B6BDE3"/>
    <w:rsid w:val="06D8C98E"/>
    <w:rsid w:val="070CF072"/>
    <w:rsid w:val="07323BEE"/>
    <w:rsid w:val="074A717D"/>
    <w:rsid w:val="07C9B8EF"/>
    <w:rsid w:val="07F8F849"/>
    <w:rsid w:val="0801FF49"/>
    <w:rsid w:val="081549B0"/>
    <w:rsid w:val="081F45B8"/>
    <w:rsid w:val="0836ACAB"/>
    <w:rsid w:val="0837D982"/>
    <w:rsid w:val="0838CB0A"/>
    <w:rsid w:val="087A47BD"/>
    <w:rsid w:val="088C9782"/>
    <w:rsid w:val="08B4F4B1"/>
    <w:rsid w:val="08CE0C4F"/>
    <w:rsid w:val="08F9B8CF"/>
    <w:rsid w:val="090BFA46"/>
    <w:rsid w:val="09A17751"/>
    <w:rsid w:val="0A0C02C3"/>
    <w:rsid w:val="0A37A9FD"/>
    <w:rsid w:val="0A3E64B2"/>
    <w:rsid w:val="0A501B4F"/>
    <w:rsid w:val="0A68B2A0"/>
    <w:rsid w:val="0A6EF8A1"/>
    <w:rsid w:val="0A7214C2"/>
    <w:rsid w:val="0A7AFFD0"/>
    <w:rsid w:val="0AC21247"/>
    <w:rsid w:val="0ACA8CD2"/>
    <w:rsid w:val="0B0EB6EA"/>
    <w:rsid w:val="0B1111C2"/>
    <w:rsid w:val="0B41D89A"/>
    <w:rsid w:val="0B422A25"/>
    <w:rsid w:val="0B4D8D6E"/>
    <w:rsid w:val="0B8E96EF"/>
    <w:rsid w:val="0B9BD770"/>
    <w:rsid w:val="0BDA3513"/>
    <w:rsid w:val="0BF5EFA6"/>
    <w:rsid w:val="0C58B65F"/>
    <w:rsid w:val="0C590F01"/>
    <w:rsid w:val="0C5BCDAB"/>
    <w:rsid w:val="0CACE223"/>
    <w:rsid w:val="0CB68DF9"/>
    <w:rsid w:val="0CDDFA86"/>
    <w:rsid w:val="0CE08892"/>
    <w:rsid w:val="0D38F40E"/>
    <w:rsid w:val="0D544654"/>
    <w:rsid w:val="0D62E072"/>
    <w:rsid w:val="0D7C49F4"/>
    <w:rsid w:val="0D8A1300"/>
    <w:rsid w:val="0D8E7153"/>
    <w:rsid w:val="0DB3F087"/>
    <w:rsid w:val="0DDBCAE5"/>
    <w:rsid w:val="0DE1BC78"/>
    <w:rsid w:val="0DF486C0"/>
    <w:rsid w:val="0E069BB2"/>
    <w:rsid w:val="0EAC1356"/>
    <w:rsid w:val="0EC2BD3A"/>
    <w:rsid w:val="0EE72E2A"/>
    <w:rsid w:val="0EF495CF"/>
    <w:rsid w:val="0F1C1669"/>
    <w:rsid w:val="0F36988B"/>
    <w:rsid w:val="0F411723"/>
    <w:rsid w:val="0F74A267"/>
    <w:rsid w:val="0F936E6D"/>
    <w:rsid w:val="0FC65909"/>
    <w:rsid w:val="0FDD233A"/>
    <w:rsid w:val="1038F39E"/>
    <w:rsid w:val="105B2688"/>
    <w:rsid w:val="105B6ED5"/>
    <w:rsid w:val="1078445B"/>
    <w:rsid w:val="10950898"/>
    <w:rsid w:val="109E0176"/>
    <w:rsid w:val="10C921A1"/>
    <w:rsid w:val="10FC4896"/>
    <w:rsid w:val="11351CDC"/>
    <w:rsid w:val="114109D6"/>
    <w:rsid w:val="11677171"/>
    <w:rsid w:val="119AFB3B"/>
    <w:rsid w:val="11A49425"/>
    <w:rsid w:val="11BB3B14"/>
    <w:rsid w:val="11CDF9EC"/>
    <w:rsid w:val="11D227D9"/>
    <w:rsid w:val="11D4C3FF"/>
    <w:rsid w:val="1207C9EC"/>
    <w:rsid w:val="1221D0C3"/>
    <w:rsid w:val="1228E72A"/>
    <w:rsid w:val="1239D1D7"/>
    <w:rsid w:val="1252943E"/>
    <w:rsid w:val="127A0A86"/>
    <w:rsid w:val="12B2D89B"/>
    <w:rsid w:val="12C7F7E3"/>
    <w:rsid w:val="12D0ED3D"/>
    <w:rsid w:val="12D8E2F1"/>
    <w:rsid w:val="12D9FBDC"/>
    <w:rsid w:val="13337595"/>
    <w:rsid w:val="135B0041"/>
    <w:rsid w:val="13648061"/>
    <w:rsid w:val="137F2EB1"/>
    <w:rsid w:val="13C4B78B"/>
    <w:rsid w:val="13EE649F"/>
    <w:rsid w:val="13FEA58B"/>
    <w:rsid w:val="140C2DD0"/>
    <w:rsid w:val="146B5028"/>
    <w:rsid w:val="149ABDE6"/>
    <w:rsid w:val="14A51C15"/>
    <w:rsid w:val="14E769B9"/>
    <w:rsid w:val="1555390C"/>
    <w:rsid w:val="1561F243"/>
    <w:rsid w:val="159A75EC"/>
    <w:rsid w:val="15CF0A4A"/>
    <w:rsid w:val="15D3F9D4"/>
    <w:rsid w:val="16072089"/>
    <w:rsid w:val="162D6DE9"/>
    <w:rsid w:val="1634E99E"/>
    <w:rsid w:val="1682F6B9"/>
    <w:rsid w:val="16B8C022"/>
    <w:rsid w:val="1709F6A3"/>
    <w:rsid w:val="1715B07E"/>
    <w:rsid w:val="173E80E4"/>
    <w:rsid w:val="174C4DEE"/>
    <w:rsid w:val="174D302D"/>
    <w:rsid w:val="176C7375"/>
    <w:rsid w:val="178554FD"/>
    <w:rsid w:val="179A601E"/>
    <w:rsid w:val="179B629C"/>
    <w:rsid w:val="17A2F0EA"/>
    <w:rsid w:val="17E9D681"/>
    <w:rsid w:val="17FE73AC"/>
    <w:rsid w:val="1812FDBB"/>
    <w:rsid w:val="184C8B04"/>
    <w:rsid w:val="18CC3EFF"/>
    <w:rsid w:val="19206221"/>
    <w:rsid w:val="193A6365"/>
    <w:rsid w:val="198ACC48"/>
    <w:rsid w:val="1997475B"/>
    <w:rsid w:val="1A0BDD0F"/>
    <w:rsid w:val="1A7CFCB7"/>
    <w:rsid w:val="1A8098C5"/>
    <w:rsid w:val="1AEE2E0D"/>
    <w:rsid w:val="1AF971EF"/>
    <w:rsid w:val="1AFEAF6F"/>
    <w:rsid w:val="1B461230"/>
    <w:rsid w:val="1B7A4651"/>
    <w:rsid w:val="1B9433FB"/>
    <w:rsid w:val="1B998C0E"/>
    <w:rsid w:val="1BAF043E"/>
    <w:rsid w:val="1BC0F0C6"/>
    <w:rsid w:val="1BC61D3B"/>
    <w:rsid w:val="1BE7D8BA"/>
    <w:rsid w:val="1C01F09D"/>
    <w:rsid w:val="1C05DE97"/>
    <w:rsid w:val="1C07DF0E"/>
    <w:rsid w:val="1C39A7E4"/>
    <w:rsid w:val="1C3E3D5D"/>
    <w:rsid w:val="1C85D86E"/>
    <w:rsid w:val="1C9D117B"/>
    <w:rsid w:val="1CA3D0E6"/>
    <w:rsid w:val="1CA5B506"/>
    <w:rsid w:val="1CAF0EB8"/>
    <w:rsid w:val="1CDC47F0"/>
    <w:rsid w:val="1CFF8199"/>
    <w:rsid w:val="1D2AF72B"/>
    <w:rsid w:val="1D400E1B"/>
    <w:rsid w:val="1D618ACD"/>
    <w:rsid w:val="1D668F4E"/>
    <w:rsid w:val="1D88C6EF"/>
    <w:rsid w:val="1D8E8A51"/>
    <w:rsid w:val="1D9590BE"/>
    <w:rsid w:val="1DA7A4A9"/>
    <w:rsid w:val="1DDA1C2F"/>
    <w:rsid w:val="1E272F50"/>
    <w:rsid w:val="1E4579FD"/>
    <w:rsid w:val="1E8B8565"/>
    <w:rsid w:val="1EE44901"/>
    <w:rsid w:val="1EEF1813"/>
    <w:rsid w:val="1F43750A"/>
    <w:rsid w:val="1F53ACEA"/>
    <w:rsid w:val="1F870BA3"/>
    <w:rsid w:val="1FC9340B"/>
    <w:rsid w:val="1FDD55C8"/>
    <w:rsid w:val="1FE822A0"/>
    <w:rsid w:val="2014F495"/>
    <w:rsid w:val="20811581"/>
    <w:rsid w:val="209D552A"/>
    <w:rsid w:val="20B2105C"/>
    <w:rsid w:val="20BA5D01"/>
    <w:rsid w:val="20FC4B75"/>
    <w:rsid w:val="21281A07"/>
    <w:rsid w:val="2143D67A"/>
    <w:rsid w:val="21CABD79"/>
    <w:rsid w:val="21D194FC"/>
    <w:rsid w:val="21E0DCB5"/>
    <w:rsid w:val="22150839"/>
    <w:rsid w:val="22981BD6"/>
    <w:rsid w:val="22AD8D52"/>
    <w:rsid w:val="22CF2A88"/>
    <w:rsid w:val="22D1B98B"/>
    <w:rsid w:val="233A88D0"/>
    <w:rsid w:val="234C9557"/>
    <w:rsid w:val="23544F9C"/>
    <w:rsid w:val="23677BB0"/>
    <w:rsid w:val="23969F13"/>
    <w:rsid w:val="23AC0895"/>
    <w:rsid w:val="23B8B643"/>
    <w:rsid w:val="24204C1B"/>
    <w:rsid w:val="24363F45"/>
    <w:rsid w:val="243942D4"/>
    <w:rsid w:val="249EC301"/>
    <w:rsid w:val="24BCDCFB"/>
    <w:rsid w:val="24CC75A2"/>
    <w:rsid w:val="24E93A99"/>
    <w:rsid w:val="24FC19C5"/>
    <w:rsid w:val="25071DBB"/>
    <w:rsid w:val="25161DCD"/>
    <w:rsid w:val="254B3975"/>
    <w:rsid w:val="25984EA3"/>
    <w:rsid w:val="25CC05B7"/>
    <w:rsid w:val="25CF4717"/>
    <w:rsid w:val="25CFBC98"/>
    <w:rsid w:val="25E21CF8"/>
    <w:rsid w:val="25FBCBE1"/>
    <w:rsid w:val="2658349B"/>
    <w:rsid w:val="26621426"/>
    <w:rsid w:val="270C96AE"/>
    <w:rsid w:val="2736CFD8"/>
    <w:rsid w:val="273806E5"/>
    <w:rsid w:val="2767D618"/>
    <w:rsid w:val="27DBD848"/>
    <w:rsid w:val="283EBE7D"/>
    <w:rsid w:val="28821056"/>
    <w:rsid w:val="288C2766"/>
    <w:rsid w:val="2890BD09"/>
    <w:rsid w:val="289B4316"/>
    <w:rsid w:val="28BF2612"/>
    <w:rsid w:val="28D3E503"/>
    <w:rsid w:val="294045A7"/>
    <w:rsid w:val="297FC908"/>
    <w:rsid w:val="2983B941"/>
    <w:rsid w:val="29AF7008"/>
    <w:rsid w:val="29B29422"/>
    <w:rsid w:val="29C80AFA"/>
    <w:rsid w:val="29C812AD"/>
    <w:rsid w:val="2A26FBA8"/>
    <w:rsid w:val="2A2B0F13"/>
    <w:rsid w:val="2A5C26FA"/>
    <w:rsid w:val="2A97779C"/>
    <w:rsid w:val="2A99B234"/>
    <w:rsid w:val="2AAE2445"/>
    <w:rsid w:val="2ACADDE7"/>
    <w:rsid w:val="2ADE0E46"/>
    <w:rsid w:val="2AF11182"/>
    <w:rsid w:val="2B117E32"/>
    <w:rsid w:val="2B304BD8"/>
    <w:rsid w:val="2B934F6F"/>
    <w:rsid w:val="2B99788F"/>
    <w:rsid w:val="2BD8AA7C"/>
    <w:rsid w:val="2BFB836E"/>
    <w:rsid w:val="2C023217"/>
    <w:rsid w:val="2C782B1F"/>
    <w:rsid w:val="2C8D764E"/>
    <w:rsid w:val="2C9BB38F"/>
    <w:rsid w:val="2CC0CCAF"/>
    <w:rsid w:val="2CE651B8"/>
    <w:rsid w:val="2CFCD3B0"/>
    <w:rsid w:val="2CFEA383"/>
    <w:rsid w:val="2D10F0A4"/>
    <w:rsid w:val="2D18BE1A"/>
    <w:rsid w:val="2D688DE3"/>
    <w:rsid w:val="2DC0B07B"/>
    <w:rsid w:val="2E13B6CA"/>
    <w:rsid w:val="2E18B042"/>
    <w:rsid w:val="2E426171"/>
    <w:rsid w:val="2E4F2401"/>
    <w:rsid w:val="2E66E989"/>
    <w:rsid w:val="2EB867B4"/>
    <w:rsid w:val="2EC357D1"/>
    <w:rsid w:val="2F19C841"/>
    <w:rsid w:val="2F25F2E7"/>
    <w:rsid w:val="2F2B6CD2"/>
    <w:rsid w:val="2F965ECE"/>
    <w:rsid w:val="2FDF8E5B"/>
    <w:rsid w:val="30ABD8D7"/>
    <w:rsid w:val="30CB24CB"/>
    <w:rsid w:val="30DA2427"/>
    <w:rsid w:val="30F02B67"/>
    <w:rsid w:val="30F0DC85"/>
    <w:rsid w:val="3110BAD2"/>
    <w:rsid w:val="3127E0BB"/>
    <w:rsid w:val="31C91DCD"/>
    <w:rsid w:val="3204E009"/>
    <w:rsid w:val="3227E956"/>
    <w:rsid w:val="327272C5"/>
    <w:rsid w:val="32862554"/>
    <w:rsid w:val="328A56B2"/>
    <w:rsid w:val="32910079"/>
    <w:rsid w:val="329A6DAE"/>
    <w:rsid w:val="32AF046A"/>
    <w:rsid w:val="32C254E5"/>
    <w:rsid w:val="32C3B11C"/>
    <w:rsid w:val="33492185"/>
    <w:rsid w:val="33A09391"/>
    <w:rsid w:val="33AF9C2B"/>
    <w:rsid w:val="3424C5B3"/>
    <w:rsid w:val="343E456E"/>
    <w:rsid w:val="344E46A6"/>
    <w:rsid w:val="3457D7C4"/>
    <w:rsid w:val="346F4275"/>
    <w:rsid w:val="347013B0"/>
    <w:rsid w:val="353F0549"/>
    <w:rsid w:val="3557D06D"/>
    <w:rsid w:val="35661C2B"/>
    <w:rsid w:val="3594F720"/>
    <w:rsid w:val="35D3FCF4"/>
    <w:rsid w:val="35E22981"/>
    <w:rsid w:val="36090EA7"/>
    <w:rsid w:val="360BE411"/>
    <w:rsid w:val="3620A3C8"/>
    <w:rsid w:val="363E0EC6"/>
    <w:rsid w:val="368C6CA3"/>
    <w:rsid w:val="36C07AF8"/>
    <w:rsid w:val="36DAD5AA"/>
    <w:rsid w:val="370805FD"/>
    <w:rsid w:val="3739F469"/>
    <w:rsid w:val="375D258D"/>
    <w:rsid w:val="377DF9E2"/>
    <w:rsid w:val="37A170B3"/>
    <w:rsid w:val="37B7840A"/>
    <w:rsid w:val="37D533B5"/>
    <w:rsid w:val="37D8FAE1"/>
    <w:rsid w:val="38221AC0"/>
    <w:rsid w:val="3828D486"/>
    <w:rsid w:val="3854CB3A"/>
    <w:rsid w:val="38C64B53"/>
    <w:rsid w:val="39041F0D"/>
    <w:rsid w:val="394BCAB6"/>
    <w:rsid w:val="397FD735"/>
    <w:rsid w:val="399130ED"/>
    <w:rsid w:val="39E5120F"/>
    <w:rsid w:val="39E660E2"/>
    <w:rsid w:val="3A2376BE"/>
    <w:rsid w:val="3A6C9EA0"/>
    <w:rsid w:val="3AD91175"/>
    <w:rsid w:val="3AF87D91"/>
    <w:rsid w:val="3B08BADE"/>
    <w:rsid w:val="3B18B627"/>
    <w:rsid w:val="3B224EF5"/>
    <w:rsid w:val="3C0A4F28"/>
    <w:rsid w:val="3C35884E"/>
    <w:rsid w:val="3C4AAA40"/>
    <w:rsid w:val="3C5D4EE5"/>
    <w:rsid w:val="3C671D9F"/>
    <w:rsid w:val="3C74E1D6"/>
    <w:rsid w:val="3C74E88A"/>
    <w:rsid w:val="3CA95EFA"/>
    <w:rsid w:val="3D2FBC7C"/>
    <w:rsid w:val="3D4722E5"/>
    <w:rsid w:val="3D85951F"/>
    <w:rsid w:val="3D884FAE"/>
    <w:rsid w:val="3D928C2D"/>
    <w:rsid w:val="3DDC008F"/>
    <w:rsid w:val="3DEC7D92"/>
    <w:rsid w:val="3E1245A4"/>
    <w:rsid w:val="3E16F5F6"/>
    <w:rsid w:val="3E2E3F49"/>
    <w:rsid w:val="3E5983FD"/>
    <w:rsid w:val="3E8C75FB"/>
    <w:rsid w:val="3EEE1612"/>
    <w:rsid w:val="3F05E7F9"/>
    <w:rsid w:val="3F3FE05F"/>
    <w:rsid w:val="3FAC8298"/>
    <w:rsid w:val="401D3BB6"/>
    <w:rsid w:val="404A0402"/>
    <w:rsid w:val="404F5B65"/>
    <w:rsid w:val="405027E2"/>
    <w:rsid w:val="405B718B"/>
    <w:rsid w:val="408351F4"/>
    <w:rsid w:val="41029A3C"/>
    <w:rsid w:val="411EC388"/>
    <w:rsid w:val="413CDB05"/>
    <w:rsid w:val="415AA6EE"/>
    <w:rsid w:val="416DD32F"/>
    <w:rsid w:val="4190ED05"/>
    <w:rsid w:val="41915578"/>
    <w:rsid w:val="41BF3DD6"/>
    <w:rsid w:val="41D0C9E1"/>
    <w:rsid w:val="41F75C66"/>
    <w:rsid w:val="41FC172B"/>
    <w:rsid w:val="42032D9F"/>
    <w:rsid w:val="420908C1"/>
    <w:rsid w:val="423F8441"/>
    <w:rsid w:val="427981EF"/>
    <w:rsid w:val="42A23F98"/>
    <w:rsid w:val="42AF8754"/>
    <w:rsid w:val="42EA6719"/>
    <w:rsid w:val="43573D1F"/>
    <w:rsid w:val="4370E62E"/>
    <w:rsid w:val="43A4C45E"/>
    <w:rsid w:val="43F002A9"/>
    <w:rsid w:val="441DA887"/>
    <w:rsid w:val="4436D0E4"/>
    <w:rsid w:val="44701BA7"/>
    <w:rsid w:val="4497C734"/>
    <w:rsid w:val="449E9267"/>
    <w:rsid w:val="44AF9D24"/>
    <w:rsid w:val="44C2D297"/>
    <w:rsid w:val="44F3AB34"/>
    <w:rsid w:val="458BD30A"/>
    <w:rsid w:val="45F34720"/>
    <w:rsid w:val="460BEC08"/>
    <w:rsid w:val="461DF50A"/>
    <w:rsid w:val="46200B45"/>
    <w:rsid w:val="4649291A"/>
    <w:rsid w:val="46B1A52C"/>
    <w:rsid w:val="46DDBDAF"/>
    <w:rsid w:val="4717ECCD"/>
    <w:rsid w:val="47369CF3"/>
    <w:rsid w:val="474125C7"/>
    <w:rsid w:val="477C3B4C"/>
    <w:rsid w:val="47EF2B6C"/>
    <w:rsid w:val="47F17441"/>
    <w:rsid w:val="48909440"/>
    <w:rsid w:val="48A58C4B"/>
    <w:rsid w:val="4915C81F"/>
    <w:rsid w:val="491EC8D8"/>
    <w:rsid w:val="493003AF"/>
    <w:rsid w:val="4978E514"/>
    <w:rsid w:val="49B1FC31"/>
    <w:rsid w:val="49E024A8"/>
    <w:rsid w:val="4A74B135"/>
    <w:rsid w:val="4B9516E1"/>
    <w:rsid w:val="4BAA10A9"/>
    <w:rsid w:val="4BB9FA15"/>
    <w:rsid w:val="4BC47300"/>
    <w:rsid w:val="4C12E0C3"/>
    <w:rsid w:val="4C230E3B"/>
    <w:rsid w:val="4C39B93B"/>
    <w:rsid w:val="4C56699A"/>
    <w:rsid w:val="4C619B05"/>
    <w:rsid w:val="4C6AFDD1"/>
    <w:rsid w:val="4C9936E5"/>
    <w:rsid w:val="4CAC50BE"/>
    <w:rsid w:val="4CAFBF7E"/>
    <w:rsid w:val="4D25B886"/>
    <w:rsid w:val="4D4DD5CF"/>
    <w:rsid w:val="4D56E62E"/>
    <w:rsid w:val="4D633F48"/>
    <w:rsid w:val="4D67A8A7"/>
    <w:rsid w:val="4D68287E"/>
    <w:rsid w:val="4D9E0EAA"/>
    <w:rsid w:val="4DACFBCC"/>
    <w:rsid w:val="4DAE71FC"/>
    <w:rsid w:val="4DDC4BBF"/>
    <w:rsid w:val="4DE7E00F"/>
    <w:rsid w:val="4DE8C5B6"/>
    <w:rsid w:val="4E0BE712"/>
    <w:rsid w:val="4E1FB866"/>
    <w:rsid w:val="4E470B6B"/>
    <w:rsid w:val="4E522401"/>
    <w:rsid w:val="4F017097"/>
    <w:rsid w:val="4F03F8DF"/>
    <w:rsid w:val="4FA81F83"/>
    <w:rsid w:val="4FB53B8D"/>
    <w:rsid w:val="5081B7AD"/>
    <w:rsid w:val="50AF01A9"/>
    <w:rsid w:val="50D9CB20"/>
    <w:rsid w:val="50E651E6"/>
    <w:rsid w:val="50EDAC9A"/>
    <w:rsid w:val="50FA8AF1"/>
    <w:rsid w:val="5121F253"/>
    <w:rsid w:val="5155D764"/>
    <w:rsid w:val="51AD94FE"/>
    <w:rsid w:val="51C1FF06"/>
    <w:rsid w:val="51CFCD90"/>
    <w:rsid w:val="51E00ED8"/>
    <w:rsid w:val="522E282F"/>
    <w:rsid w:val="52559E4D"/>
    <w:rsid w:val="52C13034"/>
    <w:rsid w:val="52C262C6"/>
    <w:rsid w:val="52FC24D4"/>
    <w:rsid w:val="5306BFC8"/>
    <w:rsid w:val="533C1CFB"/>
    <w:rsid w:val="53824E2A"/>
    <w:rsid w:val="538F600E"/>
    <w:rsid w:val="53A46543"/>
    <w:rsid w:val="543EA912"/>
    <w:rsid w:val="544D9700"/>
    <w:rsid w:val="548594E3"/>
    <w:rsid w:val="548967CC"/>
    <w:rsid w:val="54A448CA"/>
    <w:rsid w:val="54A51300"/>
    <w:rsid w:val="54C2D5B1"/>
    <w:rsid w:val="54C9392A"/>
    <w:rsid w:val="54D2531A"/>
    <w:rsid w:val="54D74765"/>
    <w:rsid w:val="5522B14A"/>
    <w:rsid w:val="5548595D"/>
    <w:rsid w:val="554C1167"/>
    <w:rsid w:val="55724588"/>
    <w:rsid w:val="5576F5DA"/>
    <w:rsid w:val="55DBEEF6"/>
    <w:rsid w:val="55F7C314"/>
    <w:rsid w:val="55FD4BE0"/>
    <w:rsid w:val="56145765"/>
    <w:rsid w:val="566051C1"/>
    <w:rsid w:val="566E0739"/>
    <w:rsid w:val="567FEFB0"/>
    <w:rsid w:val="56C35FA5"/>
    <w:rsid w:val="5711AEC5"/>
    <w:rsid w:val="57586269"/>
    <w:rsid w:val="57752212"/>
    <w:rsid w:val="577E9523"/>
    <w:rsid w:val="57BB8BE9"/>
    <w:rsid w:val="57D44CBE"/>
    <w:rsid w:val="585F3006"/>
    <w:rsid w:val="58602122"/>
    <w:rsid w:val="5863B7FA"/>
    <w:rsid w:val="587D1774"/>
    <w:rsid w:val="58A9E64A"/>
    <w:rsid w:val="58C3F51B"/>
    <w:rsid w:val="58C59E15"/>
    <w:rsid w:val="58DF2BEE"/>
    <w:rsid w:val="594E14FF"/>
    <w:rsid w:val="59DCD74B"/>
    <w:rsid w:val="59FD1646"/>
    <w:rsid w:val="5A2899F3"/>
    <w:rsid w:val="5A4A66FD"/>
    <w:rsid w:val="5A6F3237"/>
    <w:rsid w:val="5A90032B"/>
    <w:rsid w:val="5AAAFB5B"/>
    <w:rsid w:val="5AD24E79"/>
    <w:rsid w:val="5AE77D58"/>
    <w:rsid w:val="5B0F1C68"/>
    <w:rsid w:val="5B933960"/>
    <w:rsid w:val="5BB3CD43"/>
    <w:rsid w:val="5BCF7BF8"/>
    <w:rsid w:val="5C7C89F7"/>
    <w:rsid w:val="5C8EFD0C"/>
    <w:rsid w:val="5C9479B1"/>
    <w:rsid w:val="5CA48C1B"/>
    <w:rsid w:val="5CDE6DCC"/>
    <w:rsid w:val="5D24F880"/>
    <w:rsid w:val="5D6541A8"/>
    <w:rsid w:val="5D85F0CA"/>
    <w:rsid w:val="5D9FE650"/>
    <w:rsid w:val="5DC003F1"/>
    <w:rsid w:val="5DFF42BA"/>
    <w:rsid w:val="5E60CCEB"/>
    <w:rsid w:val="5E741211"/>
    <w:rsid w:val="5EACF656"/>
    <w:rsid w:val="5EACFE06"/>
    <w:rsid w:val="5ECDDB7A"/>
    <w:rsid w:val="5ED415AA"/>
    <w:rsid w:val="5EF8AA97"/>
    <w:rsid w:val="5EFC0B16"/>
    <w:rsid w:val="5F1DFB1D"/>
    <w:rsid w:val="5F304120"/>
    <w:rsid w:val="5F41AF8F"/>
    <w:rsid w:val="5F7C4C4F"/>
    <w:rsid w:val="5F89C933"/>
    <w:rsid w:val="5FAC1BAC"/>
    <w:rsid w:val="5FEFCE09"/>
    <w:rsid w:val="5FFC9D4C"/>
    <w:rsid w:val="6009161E"/>
    <w:rsid w:val="606F49CF"/>
    <w:rsid w:val="607D5AF7"/>
    <w:rsid w:val="6097DB77"/>
    <w:rsid w:val="60BB5248"/>
    <w:rsid w:val="60D991E3"/>
    <w:rsid w:val="60E3B1A6"/>
    <w:rsid w:val="611417FD"/>
    <w:rsid w:val="6116A577"/>
    <w:rsid w:val="61B027A3"/>
    <w:rsid w:val="620FDBD6"/>
    <w:rsid w:val="621355FD"/>
    <w:rsid w:val="6233ABD8"/>
    <w:rsid w:val="62D9B210"/>
    <w:rsid w:val="630A2E9B"/>
    <w:rsid w:val="631DCEC3"/>
    <w:rsid w:val="6401938D"/>
    <w:rsid w:val="640AE779"/>
    <w:rsid w:val="646CA332"/>
    <w:rsid w:val="64AE0C17"/>
    <w:rsid w:val="64FD19CC"/>
    <w:rsid w:val="6513946A"/>
    <w:rsid w:val="65540EDE"/>
    <w:rsid w:val="657C675E"/>
    <w:rsid w:val="65B02E2F"/>
    <w:rsid w:val="65DC0DE4"/>
    <w:rsid w:val="65F11E81"/>
    <w:rsid w:val="660EEE74"/>
    <w:rsid w:val="66252492"/>
    <w:rsid w:val="665206EC"/>
    <w:rsid w:val="66574CB9"/>
    <w:rsid w:val="66912916"/>
    <w:rsid w:val="66B97700"/>
    <w:rsid w:val="66ED35BB"/>
    <w:rsid w:val="672EA1BD"/>
    <w:rsid w:val="672F1EEA"/>
    <w:rsid w:val="6739BD0E"/>
    <w:rsid w:val="676863B2"/>
    <w:rsid w:val="677E6798"/>
    <w:rsid w:val="678C8D64"/>
    <w:rsid w:val="680D7562"/>
    <w:rsid w:val="6818D702"/>
    <w:rsid w:val="683485CC"/>
    <w:rsid w:val="683B6D67"/>
    <w:rsid w:val="68844B6D"/>
    <w:rsid w:val="68CCA7EC"/>
    <w:rsid w:val="69399B99"/>
    <w:rsid w:val="69AB9A94"/>
    <w:rsid w:val="69C35586"/>
    <w:rsid w:val="69DE1A35"/>
    <w:rsid w:val="69EFC4D6"/>
    <w:rsid w:val="6A157A4F"/>
    <w:rsid w:val="6A1C0482"/>
    <w:rsid w:val="6A44AC84"/>
    <w:rsid w:val="6A6760D7"/>
    <w:rsid w:val="6A8D63DE"/>
    <w:rsid w:val="6ACF0C9F"/>
    <w:rsid w:val="6AE17AAE"/>
    <w:rsid w:val="6B4714E7"/>
    <w:rsid w:val="6B58E39C"/>
    <w:rsid w:val="6B5A4536"/>
    <w:rsid w:val="6B5AE67C"/>
    <w:rsid w:val="6B8A24C7"/>
    <w:rsid w:val="6BE512C2"/>
    <w:rsid w:val="6C16C493"/>
    <w:rsid w:val="6C425B18"/>
    <w:rsid w:val="6C7BF592"/>
    <w:rsid w:val="6D049E5C"/>
    <w:rsid w:val="6D1417AF"/>
    <w:rsid w:val="6D565E09"/>
    <w:rsid w:val="6D65394A"/>
    <w:rsid w:val="6D7F52D1"/>
    <w:rsid w:val="6DC051A5"/>
    <w:rsid w:val="6DFBCEE8"/>
    <w:rsid w:val="6E48DEBD"/>
    <w:rsid w:val="6E5EFC1E"/>
    <w:rsid w:val="6E6A5149"/>
    <w:rsid w:val="6E8F0B12"/>
    <w:rsid w:val="6EC335F9"/>
    <w:rsid w:val="6EF10ACE"/>
    <w:rsid w:val="6EF8D9E5"/>
    <w:rsid w:val="6EFA651A"/>
    <w:rsid w:val="6F0E8EDA"/>
    <w:rsid w:val="6F278F72"/>
    <w:rsid w:val="6F5F3309"/>
    <w:rsid w:val="6FC23F76"/>
    <w:rsid w:val="6FE69482"/>
    <w:rsid w:val="6FF70DF9"/>
    <w:rsid w:val="6FFCDC70"/>
    <w:rsid w:val="70382155"/>
    <w:rsid w:val="703A1434"/>
    <w:rsid w:val="705F4B34"/>
    <w:rsid w:val="708CDB2F"/>
    <w:rsid w:val="70ADFF41"/>
    <w:rsid w:val="70FF7492"/>
    <w:rsid w:val="712C979D"/>
    <w:rsid w:val="7182D5FA"/>
    <w:rsid w:val="71965EEB"/>
    <w:rsid w:val="71B094EF"/>
    <w:rsid w:val="71C3058D"/>
    <w:rsid w:val="7209BD6D"/>
    <w:rsid w:val="724E83BF"/>
    <w:rsid w:val="724EFD42"/>
    <w:rsid w:val="72738A32"/>
    <w:rsid w:val="7285E82D"/>
    <w:rsid w:val="7291F2E6"/>
    <w:rsid w:val="72C9B81F"/>
    <w:rsid w:val="72F6D0AC"/>
    <w:rsid w:val="72FBAD45"/>
    <w:rsid w:val="730ED4F9"/>
    <w:rsid w:val="731C4FE0"/>
    <w:rsid w:val="73A349B0"/>
    <w:rsid w:val="73C2FDD2"/>
    <w:rsid w:val="73CDBDA3"/>
    <w:rsid w:val="73EB7E70"/>
    <w:rsid w:val="73F47995"/>
    <w:rsid w:val="73F8E29F"/>
    <w:rsid w:val="742E970A"/>
    <w:rsid w:val="7434BF72"/>
    <w:rsid w:val="744BD2D2"/>
    <w:rsid w:val="74566BD2"/>
    <w:rsid w:val="74585F37"/>
    <w:rsid w:val="745CE21F"/>
    <w:rsid w:val="74848FFE"/>
    <w:rsid w:val="74B68ED0"/>
    <w:rsid w:val="74D92892"/>
    <w:rsid w:val="755140D6"/>
    <w:rsid w:val="759D6E9F"/>
    <w:rsid w:val="75C0CCCF"/>
    <w:rsid w:val="75C385E1"/>
    <w:rsid w:val="75CA676B"/>
    <w:rsid w:val="75D51076"/>
    <w:rsid w:val="760D2982"/>
    <w:rsid w:val="7648160E"/>
    <w:rsid w:val="7653F0A2"/>
    <w:rsid w:val="769C1ED2"/>
    <w:rsid w:val="76DC36BB"/>
    <w:rsid w:val="77278F39"/>
    <w:rsid w:val="773C40B0"/>
    <w:rsid w:val="77702945"/>
    <w:rsid w:val="778A6B08"/>
    <w:rsid w:val="77AEE3CB"/>
    <w:rsid w:val="786481B9"/>
    <w:rsid w:val="788B9EEE"/>
    <w:rsid w:val="788CD5FD"/>
    <w:rsid w:val="788DA0A7"/>
    <w:rsid w:val="78967421"/>
    <w:rsid w:val="78AC1C61"/>
    <w:rsid w:val="78B7630E"/>
    <w:rsid w:val="7902082D"/>
    <w:rsid w:val="79071078"/>
    <w:rsid w:val="790B2A19"/>
    <w:rsid w:val="79751EC5"/>
    <w:rsid w:val="79A24FF3"/>
    <w:rsid w:val="79F20792"/>
    <w:rsid w:val="7A297108"/>
    <w:rsid w:val="7A6DFA07"/>
    <w:rsid w:val="7A717064"/>
    <w:rsid w:val="7A9884C8"/>
    <w:rsid w:val="7A9DD88E"/>
    <w:rsid w:val="7AAF1AD6"/>
    <w:rsid w:val="7AB8047B"/>
    <w:rsid w:val="7AF46660"/>
    <w:rsid w:val="7B0FAC37"/>
    <w:rsid w:val="7B24B848"/>
    <w:rsid w:val="7B48A47A"/>
    <w:rsid w:val="7B86C760"/>
    <w:rsid w:val="7BF0A0C7"/>
    <w:rsid w:val="7BFB005C"/>
    <w:rsid w:val="7C1C2177"/>
    <w:rsid w:val="7C3AA50E"/>
    <w:rsid w:val="7C740424"/>
    <w:rsid w:val="7CA0C27E"/>
    <w:rsid w:val="7CAA6161"/>
    <w:rsid w:val="7CDC7629"/>
    <w:rsid w:val="7D0740FC"/>
    <w:rsid w:val="7D8BFB33"/>
    <w:rsid w:val="7DF7D8EF"/>
    <w:rsid w:val="7F60CCC3"/>
    <w:rsid w:val="7F705E01"/>
    <w:rsid w:val="7F9790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AB23B"/>
  <w15:chartTrackingRefBased/>
  <w15:docId w15:val="{0B1BB03E-FD9B-4BFD-8CA8-D65C136E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PRI Body"/>
    <w:uiPriority w:val="5"/>
    <w:qFormat/>
    <w:rsid w:val="000F2F1A"/>
    <w:pPr>
      <w:spacing w:before="120" w:after="120" w:line="288" w:lineRule="auto"/>
    </w:pPr>
    <w:rPr>
      <w:rFonts w:ascii="Arial" w:eastAsiaTheme="minorEastAsia" w:hAnsi="Arial" w:cs="Arial"/>
      <w:color w:val="000000" w:themeColor="text1"/>
      <w:sz w:val="20"/>
      <w:szCs w:val="20"/>
    </w:rPr>
  </w:style>
  <w:style w:type="paragraph" w:styleId="Heading1">
    <w:name w:val="heading 1"/>
    <w:aliases w:val="Section title"/>
    <w:basedOn w:val="Normal"/>
    <w:next w:val="Normal"/>
    <w:link w:val="Heading1Char"/>
    <w:uiPriority w:val="1"/>
    <w:qFormat/>
    <w:rsid w:val="008643B7"/>
    <w:pPr>
      <w:keepNext/>
      <w:keepLines/>
      <w:spacing w:before="240" w:after="0" w:line="312" w:lineRule="auto"/>
      <w:outlineLvl w:val="0"/>
    </w:pPr>
    <w:rPr>
      <w:rFonts w:eastAsiaTheme="majorEastAsia" w:cstheme="majorBidi"/>
      <w:caps/>
      <w:color w:val="2F5496" w:themeColor="accent1" w:themeShade="BF"/>
      <w:sz w:val="40"/>
      <w:szCs w:val="32"/>
    </w:rPr>
  </w:style>
  <w:style w:type="paragraph" w:styleId="Heading2">
    <w:name w:val="heading 2"/>
    <w:aliases w:val="SubHeading 1"/>
    <w:basedOn w:val="Normal"/>
    <w:next w:val="Normal"/>
    <w:link w:val="Heading2Char"/>
    <w:uiPriority w:val="2"/>
    <w:qFormat/>
    <w:rsid w:val="008643B7"/>
    <w:pPr>
      <w:keepNext/>
      <w:keepLines/>
      <w:spacing w:before="240" w:line="312" w:lineRule="auto"/>
      <w:outlineLvl w:val="1"/>
    </w:pPr>
    <w:rPr>
      <w:rFonts w:eastAsiaTheme="majorEastAsia" w:cstheme="majorBidi"/>
      <w:b/>
      <w:caps/>
      <w:color w:val="00B0F0"/>
      <w:sz w:val="28"/>
      <w:szCs w:val="26"/>
    </w:rPr>
  </w:style>
  <w:style w:type="paragraph" w:styleId="Heading3">
    <w:name w:val="heading 3"/>
    <w:aliases w:val="Sub-Sub heading,PRI Heading 3"/>
    <w:basedOn w:val="Normal"/>
    <w:next w:val="Normal"/>
    <w:link w:val="Heading3Char"/>
    <w:uiPriority w:val="3"/>
    <w:qFormat/>
    <w:rsid w:val="000F2F1A"/>
    <w:pPr>
      <w:keepNext/>
      <w:keepLines/>
      <w:spacing w:before="240" w:line="312" w:lineRule="auto"/>
      <w:outlineLvl w:val="2"/>
    </w:pPr>
    <w:rPr>
      <w:rFonts w:eastAsiaTheme="majorEastAsia" w:cstheme="majorBidi"/>
      <w:b/>
      <w:caps/>
      <w:color w:val="0070C0"/>
      <w:sz w:val="24"/>
      <w:szCs w:val="24"/>
    </w:rPr>
  </w:style>
  <w:style w:type="paragraph" w:styleId="Heading4">
    <w:name w:val="heading 4"/>
    <w:aliases w:val="Heading #3"/>
    <w:basedOn w:val="Normal"/>
    <w:next w:val="Normal"/>
    <w:link w:val="Heading4Char"/>
    <w:uiPriority w:val="5"/>
    <w:qFormat/>
    <w:rsid w:val="008643B7"/>
    <w:pPr>
      <w:keepNext/>
      <w:keepLines/>
      <w:spacing w:before="40" w:after="0" w:line="312" w:lineRule="auto"/>
      <w:outlineLvl w:val="3"/>
    </w:pPr>
    <w:rPr>
      <w:rFonts w:eastAsiaTheme="majorEastAsia" w:cstheme="majorBidi"/>
      <w:b/>
      <w:iCs/>
      <w:color w:val="00B0F0"/>
    </w:rPr>
  </w:style>
  <w:style w:type="paragraph" w:styleId="Heading5">
    <w:name w:val="heading 5"/>
    <w:basedOn w:val="Normal"/>
    <w:next w:val="Normal"/>
    <w:link w:val="Heading5Char"/>
    <w:uiPriority w:val="9"/>
    <w:semiHidden/>
    <w:unhideWhenUsed/>
    <w:rsid w:val="009B05C4"/>
    <w:pPr>
      <w:keepNext/>
      <w:keepLines/>
      <w:numPr>
        <w:ilvl w:val="4"/>
        <w:numId w:val="8"/>
      </w:numPr>
      <w:spacing w:before="40" w:after="0" w:line="312"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05C4"/>
    <w:pPr>
      <w:keepNext/>
      <w:keepLines/>
      <w:numPr>
        <w:ilvl w:val="5"/>
        <w:numId w:val="8"/>
      </w:numPr>
      <w:spacing w:before="40" w:after="0" w:line="312"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05C4"/>
    <w:pPr>
      <w:keepNext/>
      <w:keepLines/>
      <w:numPr>
        <w:ilvl w:val="6"/>
        <w:numId w:val="8"/>
      </w:numPr>
      <w:spacing w:before="40" w:after="0" w:line="312"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05C4"/>
    <w:pPr>
      <w:keepNext/>
      <w:keepLines/>
      <w:numPr>
        <w:ilvl w:val="7"/>
        <w:numId w:val="8"/>
      </w:numPr>
      <w:spacing w:before="40" w:after="0" w:line="312"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5C4"/>
    <w:pPr>
      <w:keepNext/>
      <w:keepLines/>
      <w:numPr>
        <w:ilvl w:val="8"/>
        <w:numId w:val="8"/>
      </w:numPr>
      <w:spacing w:before="40" w:after="0" w:line="312"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1"/>
    <w:rsid w:val="008643B7"/>
    <w:rPr>
      <w:rFonts w:ascii="Arial" w:eastAsiaTheme="majorEastAsia" w:hAnsi="Arial" w:cstheme="majorBidi"/>
      <w:caps/>
      <w:color w:val="2F5496" w:themeColor="accent1" w:themeShade="BF"/>
      <w:sz w:val="40"/>
      <w:szCs w:val="32"/>
    </w:rPr>
  </w:style>
  <w:style w:type="paragraph" w:styleId="Title">
    <w:name w:val="Title"/>
    <w:aliases w:val="Main title,PRI Title"/>
    <w:basedOn w:val="Normal"/>
    <w:next w:val="Normal"/>
    <w:link w:val="TitleChar"/>
    <w:qFormat/>
    <w:rsid w:val="00406E77"/>
    <w:pPr>
      <w:pBdr>
        <w:bottom w:val="single" w:sz="4" w:space="3" w:color="000000" w:themeColor="text1"/>
      </w:pBdr>
      <w:spacing w:before="3200" w:after="420" w:line="240" w:lineRule="auto"/>
      <w:contextualSpacing/>
    </w:pPr>
    <w:rPr>
      <w:rFonts w:eastAsiaTheme="majorEastAsia" w:cstheme="majorBidi"/>
      <w:caps/>
      <w:spacing w:val="-10"/>
      <w:kern w:val="28"/>
      <w:sz w:val="48"/>
      <w:szCs w:val="56"/>
    </w:rPr>
  </w:style>
  <w:style w:type="character" w:customStyle="1" w:styleId="TitleChar">
    <w:name w:val="Title Char"/>
    <w:aliases w:val="Main title Char,PRI Title Char"/>
    <w:basedOn w:val="DefaultParagraphFont"/>
    <w:link w:val="Title"/>
    <w:rsid w:val="00406E77"/>
    <w:rPr>
      <w:rFonts w:ascii="Arial" w:eastAsiaTheme="majorEastAsia" w:hAnsi="Arial" w:cstheme="majorBidi"/>
      <w:caps/>
      <w:color w:val="000000" w:themeColor="text1"/>
      <w:spacing w:val="-10"/>
      <w:kern w:val="28"/>
      <w:sz w:val="48"/>
      <w:szCs w:val="56"/>
    </w:rPr>
  </w:style>
  <w:style w:type="character" w:customStyle="1" w:styleId="Heading2Char">
    <w:name w:val="Heading 2 Char"/>
    <w:aliases w:val="SubHeading 1 Char"/>
    <w:basedOn w:val="DefaultParagraphFont"/>
    <w:link w:val="Heading2"/>
    <w:uiPriority w:val="2"/>
    <w:rsid w:val="008643B7"/>
    <w:rPr>
      <w:rFonts w:ascii="Arial" w:eastAsiaTheme="majorEastAsia" w:hAnsi="Arial" w:cstheme="majorBidi"/>
      <w:b/>
      <w:caps/>
      <w:color w:val="00B0F0"/>
      <w:sz w:val="28"/>
      <w:szCs w:val="26"/>
    </w:rPr>
  </w:style>
  <w:style w:type="paragraph" w:styleId="BalloonText">
    <w:name w:val="Balloon Text"/>
    <w:basedOn w:val="Normal"/>
    <w:link w:val="BalloonTextChar"/>
    <w:uiPriority w:val="99"/>
    <w:semiHidden/>
    <w:unhideWhenUsed/>
    <w:rsid w:val="009B05C4"/>
    <w:pPr>
      <w:spacing w:before="0" w:after="0" w:line="240" w:lineRule="auto"/>
    </w:pPr>
    <w:rPr>
      <w:rFonts w:ascii="Segoe UI" w:eastAsia="MS PGothic" w:hAnsi="Segoe UI" w:cs="Segoe UI"/>
      <w:color w:val="auto"/>
      <w:sz w:val="18"/>
      <w:szCs w:val="18"/>
    </w:rPr>
  </w:style>
  <w:style w:type="character" w:customStyle="1" w:styleId="BalloonTextChar">
    <w:name w:val="Balloon Text Char"/>
    <w:basedOn w:val="DefaultParagraphFont"/>
    <w:link w:val="BalloonText"/>
    <w:uiPriority w:val="99"/>
    <w:semiHidden/>
    <w:rsid w:val="009B05C4"/>
    <w:rPr>
      <w:rFonts w:ascii="Segoe UI" w:hAnsi="Segoe UI" w:cs="Segoe UI"/>
      <w:sz w:val="18"/>
      <w:szCs w:val="18"/>
    </w:rPr>
  </w:style>
  <w:style w:type="character" w:customStyle="1" w:styleId="Heading3Char">
    <w:name w:val="Heading 3 Char"/>
    <w:aliases w:val="Sub-Sub heading Char,PRI Heading 3 Char"/>
    <w:basedOn w:val="DefaultParagraphFont"/>
    <w:link w:val="Heading3"/>
    <w:uiPriority w:val="3"/>
    <w:rsid w:val="000F2F1A"/>
    <w:rPr>
      <w:rFonts w:ascii="Arial" w:eastAsiaTheme="majorEastAsia" w:hAnsi="Arial" w:cstheme="majorBidi"/>
      <w:b/>
      <w:caps/>
      <w:color w:val="0070C0"/>
      <w:sz w:val="24"/>
      <w:szCs w:val="24"/>
    </w:rPr>
  </w:style>
  <w:style w:type="paragraph" w:styleId="ListParagraph">
    <w:name w:val="List Paragraph"/>
    <w:aliases w:val="PRI Bullets"/>
    <w:basedOn w:val="Normal"/>
    <w:uiPriority w:val="34"/>
    <w:qFormat/>
    <w:rsid w:val="009B05C4"/>
    <w:pPr>
      <w:spacing w:before="0" w:after="0" w:line="312" w:lineRule="auto"/>
      <w:ind w:left="720"/>
      <w:contextualSpacing/>
    </w:pPr>
    <w:rPr>
      <w:rFonts w:eastAsia="MS PGothic" w:cs="Times New Roman"/>
      <w:color w:val="auto"/>
    </w:rPr>
  </w:style>
  <w:style w:type="character" w:customStyle="1" w:styleId="Heading4Char">
    <w:name w:val="Heading 4 Char"/>
    <w:aliases w:val="Heading #3 Char"/>
    <w:basedOn w:val="DefaultParagraphFont"/>
    <w:link w:val="Heading4"/>
    <w:uiPriority w:val="5"/>
    <w:rsid w:val="008643B7"/>
    <w:rPr>
      <w:rFonts w:ascii="Arial" w:eastAsiaTheme="majorEastAsia" w:hAnsi="Arial" w:cstheme="majorBidi"/>
      <w:b/>
      <w:iCs/>
      <w:color w:val="00B0F0"/>
      <w:sz w:val="20"/>
    </w:rPr>
  </w:style>
  <w:style w:type="character" w:customStyle="1" w:styleId="Heading5Char">
    <w:name w:val="Heading 5 Char"/>
    <w:basedOn w:val="DefaultParagraphFont"/>
    <w:link w:val="Heading5"/>
    <w:uiPriority w:val="9"/>
    <w:semiHidden/>
    <w:rsid w:val="009B05C4"/>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9B05C4"/>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B05C4"/>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B05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5C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27FF8"/>
    <w:pPr>
      <w:tabs>
        <w:tab w:val="center" w:pos="4513"/>
        <w:tab w:val="right" w:pos="9026"/>
      </w:tabs>
      <w:spacing w:before="0" w:after="0" w:line="240" w:lineRule="auto"/>
    </w:pPr>
    <w:rPr>
      <w:rFonts w:eastAsia="MS PGothic" w:cs="Times New Roman"/>
      <w:color w:val="auto"/>
    </w:rPr>
  </w:style>
  <w:style w:type="character" w:customStyle="1" w:styleId="HeaderChar">
    <w:name w:val="Header Char"/>
    <w:basedOn w:val="DefaultParagraphFont"/>
    <w:link w:val="Header"/>
    <w:uiPriority w:val="99"/>
    <w:rsid w:val="00A27FF8"/>
    <w:rPr>
      <w:rFonts w:ascii="Arial" w:hAnsi="Arial"/>
      <w:sz w:val="20"/>
    </w:rPr>
  </w:style>
  <w:style w:type="paragraph" w:styleId="Footer">
    <w:name w:val="footer"/>
    <w:basedOn w:val="Normal"/>
    <w:link w:val="FooterChar"/>
    <w:uiPriority w:val="99"/>
    <w:unhideWhenUsed/>
    <w:rsid w:val="00A27FF8"/>
    <w:pPr>
      <w:tabs>
        <w:tab w:val="center" w:pos="4513"/>
        <w:tab w:val="right" w:pos="9026"/>
      </w:tabs>
      <w:spacing w:before="0" w:after="0" w:line="240" w:lineRule="auto"/>
    </w:pPr>
    <w:rPr>
      <w:rFonts w:eastAsia="MS PGothic" w:cs="Times New Roman"/>
      <w:color w:val="auto"/>
    </w:rPr>
  </w:style>
  <w:style w:type="character" w:customStyle="1" w:styleId="FooterChar">
    <w:name w:val="Footer Char"/>
    <w:basedOn w:val="DefaultParagraphFont"/>
    <w:link w:val="Footer"/>
    <w:uiPriority w:val="99"/>
    <w:rsid w:val="00A27FF8"/>
    <w:rPr>
      <w:rFonts w:ascii="Arial" w:hAnsi="Arial"/>
      <w:sz w:val="20"/>
    </w:rPr>
  </w:style>
  <w:style w:type="character" w:styleId="PageNumber">
    <w:name w:val="page number"/>
    <w:basedOn w:val="DefaultParagraphFont"/>
    <w:uiPriority w:val="99"/>
    <w:semiHidden/>
    <w:unhideWhenUsed/>
    <w:rsid w:val="00A27FF8"/>
  </w:style>
  <w:style w:type="paragraph" w:styleId="TOCHeading">
    <w:name w:val="TOC Heading"/>
    <w:basedOn w:val="Normal"/>
    <w:next w:val="Normal"/>
    <w:uiPriority w:val="39"/>
    <w:unhideWhenUsed/>
    <w:qFormat/>
    <w:rsid w:val="00612767"/>
    <w:pPr>
      <w:spacing w:before="0" w:after="0" w:line="259" w:lineRule="auto"/>
    </w:pPr>
    <w:rPr>
      <w:rFonts w:eastAsiaTheme="majorEastAsia" w:cstheme="majorBidi"/>
      <w:color w:val="2F5496" w:themeColor="accent1" w:themeShade="BF"/>
      <w:sz w:val="40"/>
      <w:szCs w:val="32"/>
      <w:lang w:val="en-US"/>
    </w:rPr>
  </w:style>
  <w:style w:type="paragraph" w:styleId="TOC1">
    <w:name w:val="toc 1"/>
    <w:basedOn w:val="Heading1"/>
    <w:next w:val="Normal"/>
    <w:autoRedefine/>
    <w:uiPriority w:val="39"/>
    <w:unhideWhenUsed/>
    <w:qFormat/>
    <w:rsid w:val="00E37B6E"/>
    <w:pPr>
      <w:tabs>
        <w:tab w:val="right" w:leader="dot" w:pos="9015"/>
      </w:tabs>
      <w:spacing w:after="100"/>
    </w:pPr>
    <w:rPr>
      <w:sz w:val="24"/>
    </w:rPr>
  </w:style>
  <w:style w:type="paragraph" w:styleId="TOC2">
    <w:name w:val="toc 2"/>
    <w:basedOn w:val="Normal"/>
    <w:next w:val="Normal"/>
    <w:autoRedefine/>
    <w:uiPriority w:val="39"/>
    <w:unhideWhenUsed/>
    <w:rsid w:val="00DA3547"/>
    <w:pPr>
      <w:tabs>
        <w:tab w:val="left" w:pos="880"/>
        <w:tab w:val="right" w:leader="dot" w:pos="9016"/>
      </w:tabs>
      <w:spacing w:before="0" w:after="100" w:line="312" w:lineRule="auto"/>
      <w:jc w:val="center"/>
    </w:pPr>
    <w:rPr>
      <w:rFonts w:eastAsia="MS PGothic" w:cs="Times New Roman"/>
      <w:color w:val="auto"/>
    </w:rPr>
  </w:style>
  <w:style w:type="paragraph" w:styleId="TOC3">
    <w:name w:val="toc 3"/>
    <w:basedOn w:val="Normal"/>
    <w:next w:val="Normal"/>
    <w:autoRedefine/>
    <w:uiPriority w:val="39"/>
    <w:unhideWhenUsed/>
    <w:rsid w:val="00E37B6E"/>
    <w:pPr>
      <w:tabs>
        <w:tab w:val="right" w:leader="dot" w:pos="9174"/>
      </w:tabs>
      <w:spacing w:before="0" w:after="100" w:line="312" w:lineRule="auto"/>
      <w:ind w:left="400"/>
    </w:pPr>
    <w:rPr>
      <w:rFonts w:eastAsia="MS PGothic" w:cs="Times New Roman"/>
      <w:color w:val="auto"/>
    </w:rPr>
  </w:style>
  <w:style w:type="character" w:styleId="Hyperlink">
    <w:name w:val="Hyperlink"/>
    <w:basedOn w:val="DefaultParagraphFont"/>
    <w:uiPriority w:val="99"/>
    <w:qFormat/>
    <w:rsid w:val="001C2532"/>
    <w:rPr>
      <w:color w:val="00B0F0"/>
      <w:u w:val="single"/>
    </w:rPr>
  </w:style>
  <w:style w:type="paragraph" w:styleId="ListBullet">
    <w:name w:val="List Bullet"/>
    <w:basedOn w:val="Normal"/>
    <w:uiPriority w:val="6"/>
    <w:qFormat/>
    <w:rsid w:val="009D76A6"/>
    <w:pPr>
      <w:numPr>
        <w:numId w:val="2"/>
      </w:numPr>
      <w:spacing w:before="0" w:after="0" w:line="312" w:lineRule="auto"/>
      <w:ind w:left="357" w:hanging="357"/>
    </w:pPr>
    <w:rPr>
      <w:rFonts w:eastAsia="MS PGothic" w:cs="Times New Roman"/>
      <w:color w:val="auto"/>
    </w:rPr>
  </w:style>
  <w:style w:type="paragraph" w:styleId="ListBullet2">
    <w:name w:val="List Bullet 2"/>
    <w:basedOn w:val="Normal"/>
    <w:uiPriority w:val="99"/>
    <w:semiHidden/>
    <w:unhideWhenUsed/>
    <w:rsid w:val="009D76A6"/>
    <w:pPr>
      <w:numPr>
        <w:numId w:val="3"/>
      </w:numPr>
      <w:spacing w:before="0" w:after="0" w:line="312" w:lineRule="auto"/>
      <w:contextualSpacing/>
    </w:pPr>
    <w:rPr>
      <w:rFonts w:eastAsia="MS PGothic" w:cs="Times New Roman"/>
      <w:color w:val="auto"/>
    </w:rPr>
  </w:style>
  <w:style w:type="paragraph" w:styleId="ListBullet3">
    <w:name w:val="List Bullet 3"/>
    <w:basedOn w:val="Normal"/>
    <w:link w:val="ListBullet3Char"/>
    <w:uiPriority w:val="99"/>
    <w:unhideWhenUsed/>
    <w:rsid w:val="009D76A6"/>
    <w:pPr>
      <w:numPr>
        <w:numId w:val="6"/>
      </w:numPr>
      <w:spacing w:before="0" w:after="0" w:line="312" w:lineRule="auto"/>
      <w:contextualSpacing/>
    </w:pPr>
    <w:rPr>
      <w:rFonts w:eastAsia="MS PGothic" w:cs="Times New Roman"/>
      <w:color w:val="auto"/>
    </w:rPr>
  </w:style>
  <w:style w:type="paragraph" w:styleId="Subtitle">
    <w:name w:val="Subtitle"/>
    <w:aliases w:val="Bullet list 2"/>
    <w:basedOn w:val="Normal"/>
    <w:next w:val="Normal"/>
    <w:link w:val="SubtitleChar"/>
    <w:uiPriority w:val="6"/>
    <w:qFormat/>
    <w:rsid w:val="00A747EF"/>
    <w:pPr>
      <w:numPr>
        <w:numId w:val="4"/>
      </w:numPr>
      <w:spacing w:before="0" w:after="0" w:line="312" w:lineRule="auto"/>
    </w:pPr>
  </w:style>
  <w:style w:type="character" w:customStyle="1" w:styleId="SubtitleChar">
    <w:name w:val="Subtitle Char"/>
    <w:aliases w:val="Bullet list 2 Char"/>
    <w:basedOn w:val="DefaultParagraphFont"/>
    <w:link w:val="Subtitle"/>
    <w:uiPriority w:val="6"/>
    <w:rsid w:val="00FE09A7"/>
    <w:rPr>
      <w:rFonts w:ascii="Arial" w:eastAsiaTheme="minorEastAsia" w:hAnsi="Arial" w:cs="Arial"/>
      <w:color w:val="000000" w:themeColor="text1"/>
      <w:sz w:val="20"/>
      <w:szCs w:val="20"/>
    </w:rPr>
  </w:style>
  <w:style w:type="paragraph" w:customStyle="1" w:styleId="PRIQuoteBlue">
    <w:name w:val="PRI Quote Blue"/>
    <w:basedOn w:val="Quote"/>
    <w:link w:val="PRIQuoteBlueChar"/>
    <w:uiPriority w:val="8"/>
    <w:qFormat/>
    <w:rsid w:val="0057471B"/>
    <w:pPr>
      <w:spacing w:before="240" w:after="240"/>
      <w:ind w:left="0" w:right="0"/>
      <w:jc w:val="left"/>
    </w:pPr>
    <w:rPr>
      <w:i w:val="0"/>
      <w:iCs w:val="0"/>
      <w:color w:val="00B0F0"/>
      <w:sz w:val="32"/>
    </w:rPr>
  </w:style>
  <w:style w:type="character" w:customStyle="1" w:styleId="PRIQuoteBlueChar">
    <w:name w:val="PRI Quote Blue Char"/>
    <w:basedOn w:val="DefaultParagraphFont"/>
    <w:link w:val="PRIQuoteBlue"/>
    <w:uiPriority w:val="8"/>
    <w:rsid w:val="00FE09A7"/>
    <w:rPr>
      <w:rFonts w:ascii="Arial" w:eastAsia="MS PGothic" w:hAnsi="Arial" w:cs="Times New Roman"/>
      <w:color w:val="00B0F0"/>
      <w:sz w:val="32"/>
      <w:szCs w:val="20"/>
    </w:rPr>
  </w:style>
  <w:style w:type="paragraph" w:styleId="Quote">
    <w:name w:val="Quote"/>
    <w:basedOn w:val="Normal"/>
    <w:next w:val="Normal"/>
    <w:link w:val="QuoteChar"/>
    <w:uiPriority w:val="29"/>
    <w:rsid w:val="0057471B"/>
    <w:pPr>
      <w:spacing w:before="200" w:after="160" w:line="312" w:lineRule="auto"/>
      <w:ind w:left="864" w:right="864"/>
      <w:jc w:val="center"/>
    </w:pPr>
    <w:rPr>
      <w:rFonts w:eastAsia="MS PGothic" w:cs="Times New Roman"/>
      <w:i/>
      <w:iCs/>
      <w:color w:val="404040" w:themeColor="text1" w:themeTint="BF"/>
    </w:rPr>
  </w:style>
  <w:style w:type="character" w:customStyle="1" w:styleId="QuoteChar">
    <w:name w:val="Quote Char"/>
    <w:basedOn w:val="DefaultParagraphFont"/>
    <w:link w:val="Quote"/>
    <w:uiPriority w:val="29"/>
    <w:rsid w:val="0057471B"/>
    <w:rPr>
      <w:rFonts w:ascii="Arial" w:hAnsi="Arial"/>
      <w:i/>
      <w:iCs/>
      <w:color w:val="404040" w:themeColor="text1" w:themeTint="BF"/>
      <w:sz w:val="20"/>
    </w:rPr>
  </w:style>
  <w:style w:type="paragraph" w:customStyle="1" w:styleId="Bulletlist3">
    <w:name w:val="Bullet list 3"/>
    <w:basedOn w:val="ListBullet3"/>
    <w:link w:val="Bulletlist3Char"/>
    <w:uiPriority w:val="7"/>
    <w:qFormat/>
    <w:rsid w:val="00A747EF"/>
  </w:style>
  <w:style w:type="paragraph" w:customStyle="1" w:styleId="Bullestlist2">
    <w:name w:val="Bullest list 2"/>
    <w:basedOn w:val="ListBullet"/>
    <w:uiPriority w:val="7"/>
    <w:rsid w:val="00A747EF"/>
    <w:pPr>
      <w:numPr>
        <w:numId w:val="5"/>
      </w:numPr>
    </w:pPr>
  </w:style>
  <w:style w:type="table" w:styleId="TableGrid">
    <w:name w:val="Table Grid"/>
    <w:basedOn w:val="TableNormal"/>
    <w:rsid w:val="0018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3Char">
    <w:name w:val="List Bullet 3 Char"/>
    <w:basedOn w:val="DefaultParagraphFont"/>
    <w:link w:val="ListBullet3"/>
    <w:uiPriority w:val="99"/>
    <w:rsid w:val="00A747EF"/>
    <w:rPr>
      <w:rFonts w:ascii="Arial" w:hAnsi="Arial"/>
      <w:sz w:val="20"/>
    </w:rPr>
  </w:style>
  <w:style w:type="character" w:customStyle="1" w:styleId="Bulletlist3Char">
    <w:name w:val="Bullet list 3 Char"/>
    <w:basedOn w:val="ListBullet3Char"/>
    <w:link w:val="Bulletlist3"/>
    <w:uiPriority w:val="7"/>
    <w:rsid w:val="00FE09A7"/>
    <w:rPr>
      <w:rFonts w:ascii="Arial" w:hAnsi="Arial"/>
      <w:sz w:val="20"/>
    </w:rPr>
  </w:style>
  <w:style w:type="table" w:styleId="GridTable2-Accent5">
    <w:name w:val="Grid Table 2 Accent 5"/>
    <w:basedOn w:val="TableNormal"/>
    <w:uiPriority w:val="47"/>
    <w:rsid w:val="00184F1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743B12"/>
    <w:rPr>
      <w:color w:val="808080"/>
      <w:shd w:val="clear" w:color="auto" w:fill="E6E6E6"/>
    </w:rPr>
  </w:style>
  <w:style w:type="paragraph" w:customStyle="1" w:styleId="Bullet1">
    <w:name w:val="Bullet 1"/>
    <w:basedOn w:val="Normal"/>
    <w:rsid w:val="00743B12"/>
    <w:pPr>
      <w:numPr>
        <w:numId w:val="7"/>
      </w:numPr>
      <w:spacing w:before="60" w:after="0" w:line="240" w:lineRule="auto"/>
    </w:pPr>
    <w:rPr>
      <w:rFonts w:ascii="Times New Roman" w:eastAsia="Times New Roman" w:hAnsi="Times New Roman" w:cs="Times New Roman"/>
      <w:color w:val="auto"/>
      <w:sz w:val="24"/>
      <w:szCs w:val="24"/>
      <w:lang w:val="en-AU"/>
    </w:rPr>
  </w:style>
  <w:style w:type="paragraph" w:styleId="CommentText">
    <w:name w:val="annotation text"/>
    <w:basedOn w:val="Normal"/>
    <w:link w:val="CommentTextChar"/>
    <w:uiPriority w:val="99"/>
    <w:unhideWhenUsed/>
    <w:rsid w:val="00743B12"/>
    <w:pPr>
      <w:spacing w:before="0" w:after="0" w:line="240" w:lineRule="auto"/>
    </w:pPr>
    <w:rPr>
      <w:rFonts w:ascii="Times New Roman" w:eastAsia="Times New Roman" w:hAnsi="Times New Roman" w:cs="Times New Roman"/>
      <w:color w:val="auto"/>
      <w:lang w:val="en-AU"/>
    </w:rPr>
  </w:style>
  <w:style w:type="character" w:customStyle="1" w:styleId="CommentTextChar">
    <w:name w:val="Comment Text Char"/>
    <w:basedOn w:val="DefaultParagraphFont"/>
    <w:link w:val="CommentText"/>
    <w:uiPriority w:val="99"/>
    <w:rsid w:val="00743B12"/>
    <w:rPr>
      <w:rFonts w:ascii="Times New Roman" w:eastAsia="Times New Roman" w:hAnsi="Times New Roman" w:cs="Times New Roman"/>
      <w:sz w:val="20"/>
      <w:szCs w:val="20"/>
      <w:lang w:val="en-AU"/>
    </w:rPr>
  </w:style>
  <w:style w:type="paragraph" w:customStyle="1" w:styleId="paragraph">
    <w:name w:val="paragraph"/>
    <w:basedOn w:val="Normal"/>
    <w:rsid w:val="00743B12"/>
    <w:pPr>
      <w:spacing w:before="100" w:beforeAutospacing="1" w:after="100" w:afterAutospacing="1" w:line="240" w:lineRule="auto"/>
    </w:pPr>
    <w:rPr>
      <w:rFonts w:ascii="Times New Roman" w:eastAsia="Times New Roman" w:hAnsi="Times New Roman" w:cs="Times New Roman"/>
      <w:color w:val="auto"/>
      <w:sz w:val="24"/>
      <w:szCs w:val="24"/>
      <w:lang w:val="en-AU"/>
    </w:rPr>
  </w:style>
  <w:style w:type="character" w:customStyle="1" w:styleId="normaltextrun">
    <w:name w:val="normaltextrun"/>
    <w:basedOn w:val="DefaultParagraphFont"/>
    <w:rsid w:val="00743B12"/>
  </w:style>
  <w:style w:type="character" w:styleId="Strong">
    <w:name w:val="Strong"/>
    <w:basedOn w:val="DefaultParagraphFont"/>
    <w:uiPriority w:val="22"/>
    <w:qFormat/>
    <w:rsid w:val="00D77F40"/>
    <w:rPr>
      <w:b/>
      <w:bCs/>
    </w:rPr>
  </w:style>
  <w:style w:type="paragraph" w:styleId="NormalWeb">
    <w:name w:val="Normal (Web)"/>
    <w:basedOn w:val="Normal"/>
    <w:uiPriority w:val="99"/>
    <w:unhideWhenUsed/>
    <w:rsid w:val="00D75F76"/>
    <w:pPr>
      <w:spacing w:before="100" w:beforeAutospacing="1" w:after="100" w:afterAutospacing="1" w:line="312" w:lineRule="auto"/>
    </w:pPr>
    <w:rPr>
      <w:rFonts w:ascii="Times" w:eastAsia="MS PGothic" w:hAnsi="Times" w:cs="Times New Roman"/>
      <w:color w:val="auto"/>
    </w:rPr>
  </w:style>
  <w:style w:type="table" w:customStyle="1" w:styleId="PRITable2">
    <w:name w:val="PRI Table 2"/>
    <w:basedOn w:val="TableNormal"/>
    <w:uiPriority w:val="99"/>
    <w:rsid w:val="00D75F76"/>
    <w:pPr>
      <w:spacing w:after="0" w:line="312" w:lineRule="auto"/>
      <w:ind w:left="170" w:right="170" w:hanging="357"/>
    </w:pPr>
    <w:rPr>
      <w:rFonts w:ascii="Arial" w:eastAsia="MS PGothic"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styleId="EndnoteText">
    <w:name w:val="endnote text"/>
    <w:basedOn w:val="Normal"/>
    <w:link w:val="EndnoteTextChar"/>
    <w:uiPriority w:val="99"/>
    <w:semiHidden/>
    <w:unhideWhenUsed/>
    <w:rsid w:val="00E83508"/>
    <w:pPr>
      <w:spacing w:before="0" w:after="0" w:line="240" w:lineRule="auto"/>
    </w:pPr>
    <w:rPr>
      <w:rFonts w:eastAsia="MS PGothic" w:cs="Times New Roman"/>
      <w:color w:val="auto"/>
    </w:rPr>
  </w:style>
  <w:style w:type="character" w:customStyle="1" w:styleId="EndnoteTextChar">
    <w:name w:val="Endnote Text Char"/>
    <w:basedOn w:val="DefaultParagraphFont"/>
    <w:link w:val="EndnoteText"/>
    <w:uiPriority w:val="99"/>
    <w:semiHidden/>
    <w:rsid w:val="00E83508"/>
    <w:rPr>
      <w:rFonts w:ascii="Arial" w:eastAsia="MS PGothic" w:hAnsi="Arial" w:cs="Times New Roman"/>
      <w:sz w:val="20"/>
      <w:szCs w:val="20"/>
    </w:rPr>
  </w:style>
  <w:style w:type="character" w:styleId="EndnoteReference">
    <w:name w:val="endnote reference"/>
    <w:basedOn w:val="DefaultParagraphFont"/>
    <w:uiPriority w:val="99"/>
    <w:semiHidden/>
    <w:unhideWhenUsed/>
    <w:rsid w:val="00E83508"/>
    <w:rPr>
      <w:vertAlign w:val="superscript"/>
    </w:rPr>
  </w:style>
  <w:style w:type="paragraph" w:styleId="FootnoteText">
    <w:name w:val="footnote text"/>
    <w:aliases w:val="PRI Footnote Text,fn,FT,ft,SD Footnote Text,Footnote Text AG"/>
    <w:basedOn w:val="Normal"/>
    <w:link w:val="FootnoteTextChar"/>
    <w:uiPriority w:val="99"/>
    <w:unhideWhenUsed/>
    <w:qFormat/>
    <w:rsid w:val="00E83508"/>
    <w:pPr>
      <w:spacing w:before="0" w:after="0" w:line="240" w:lineRule="auto"/>
    </w:pPr>
    <w:rPr>
      <w:rFonts w:eastAsia="MS PGothic" w:cs="Times New Roman"/>
      <w:color w:val="767171" w:themeColor="background2" w:themeShade="80"/>
      <w:sz w:val="16"/>
    </w:rPr>
  </w:style>
  <w:style w:type="character" w:customStyle="1" w:styleId="FootnoteTextChar">
    <w:name w:val="Footnote Text Char"/>
    <w:aliases w:val="PRI Footnote Text Char,fn Char,FT Char,ft Char,SD Footnote Text Char,Footnote Text AG Char"/>
    <w:basedOn w:val="DefaultParagraphFont"/>
    <w:link w:val="FootnoteText"/>
    <w:uiPriority w:val="99"/>
    <w:rsid w:val="00E83508"/>
    <w:rPr>
      <w:rFonts w:ascii="Arial" w:eastAsia="MS PGothic" w:hAnsi="Arial" w:cs="Times New Roman"/>
      <w:color w:val="767171" w:themeColor="background2" w:themeShade="80"/>
      <w:sz w:val="16"/>
      <w:szCs w:val="20"/>
    </w:rPr>
  </w:style>
  <w:style w:type="character" w:styleId="FootnoteReference">
    <w:name w:val="footnote reference"/>
    <w:aliases w:val="fr"/>
    <w:basedOn w:val="DefaultParagraphFont"/>
    <w:uiPriority w:val="7"/>
    <w:unhideWhenUsed/>
    <w:rsid w:val="00E83508"/>
    <w:rPr>
      <w:vertAlign w:val="superscript"/>
    </w:rPr>
  </w:style>
  <w:style w:type="paragraph" w:customStyle="1" w:styleId="Footnotes">
    <w:name w:val="Footnotes"/>
    <w:basedOn w:val="FootnoteText"/>
    <w:next w:val="FootnoteText"/>
    <w:link w:val="FootnotesChar"/>
    <w:uiPriority w:val="5"/>
    <w:qFormat/>
    <w:rsid w:val="00AC0A51"/>
    <w:pPr>
      <w:widowControl w:val="0"/>
      <w:autoSpaceDE w:val="0"/>
      <w:autoSpaceDN w:val="0"/>
      <w:adjustRightInd w:val="0"/>
      <w:contextualSpacing/>
    </w:pPr>
  </w:style>
  <w:style w:type="character" w:customStyle="1" w:styleId="FootnotesChar">
    <w:name w:val="Footnotes Char"/>
    <w:basedOn w:val="FootnoteTextChar"/>
    <w:link w:val="Footnotes"/>
    <w:uiPriority w:val="5"/>
    <w:rsid w:val="00AC0A51"/>
    <w:rPr>
      <w:rFonts w:ascii="Arial" w:eastAsia="MS PGothic" w:hAnsi="Arial" w:cs="Times New Roman"/>
      <w:color w:val="767171" w:themeColor="background2" w:themeShade="80"/>
      <w:sz w:val="16"/>
      <w:szCs w:val="20"/>
    </w:rPr>
  </w:style>
  <w:style w:type="table" w:styleId="TableGridLight">
    <w:name w:val="Grid Table Light"/>
    <w:basedOn w:val="TableNormal"/>
    <w:uiPriority w:val="40"/>
    <w:rsid w:val="003B6D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434112"/>
    <w:rPr>
      <w:sz w:val="16"/>
      <w:szCs w:val="16"/>
    </w:rPr>
  </w:style>
  <w:style w:type="paragraph" w:styleId="CommentSubject">
    <w:name w:val="annotation subject"/>
    <w:basedOn w:val="CommentText"/>
    <w:next w:val="CommentText"/>
    <w:link w:val="CommentSubjectChar"/>
    <w:uiPriority w:val="99"/>
    <w:semiHidden/>
    <w:unhideWhenUsed/>
    <w:rsid w:val="00434112"/>
    <w:pPr>
      <w:spacing w:before="120" w:after="120"/>
    </w:pPr>
    <w:rPr>
      <w:rFonts w:ascii="Arial" w:eastAsiaTheme="minorEastAsia" w:hAnsi="Arial" w:cs="Arial"/>
      <w:b/>
      <w:bCs/>
      <w:color w:val="000000" w:themeColor="text1"/>
      <w:lang w:val="en-GB"/>
    </w:rPr>
  </w:style>
  <w:style w:type="character" w:customStyle="1" w:styleId="CommentSubjectChar">
    <w:name w:val="Comment Subject Char"/>
    <w:basedOn w:val="CommentTextChar"/>
    <w:link w:val="CommentSubject"/>
    <w:uiPriority w:val="99"/>
    <w:semiHidden/>
    <w:rsid w:val="00434112"/>
    <w:rPr>
      <w:rFonts w:ascii="Arial" w:eastAsiaTheme="minorEastAsia" w:hAnsi="Arial" w:cs="Arial"/>
      <w:b/>
      <w:bCs/>
      <w:color w:val="000000" w:themeColor="text1"/>
      <w:sz w:val="20"/>
      <w:szCs w:val="20"/>
      <w:lang w:val="en-AU"/>
    </w:rPr>
  </w:style>
  <w:style w:type="character" w:customStyle="1" w:styleId="eop">
    <w:name w:val="eop"/>
    <w:basedOn w:val="DefaultParagraphFont"/>
    <w:rsid w:val="005804BC"/>
  </w:style>
  <w:style w:type="character" w:styleId="SmartLink">
    <w:name w:val="Smart Link"/>
    <w:basedOn w:val="DefaultParagraphFont"/>
    <w:uiPriority w:val="99"/>
    <w:semiHidden/>
    <w:unhideWhenUsed/>
    <w:rsid w:val="009A445D"/>
    <w:rPr>
      <w:color w:val="0000FF"/>
      <w:u w:val="single"/>
      <w:shd w:val="clear" w:color="auto" w:fill="F3F2F1"/>
    </w:rPr>
  </w:style>
  <w:style w:type="paragraph" w:customStyle="1" w:styleId="rtejustify">
    <w:name w:val="rtejustify"/>
    <w:basedOn w:val="Normal"/>
    <w:rsid w:val="00E20CD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Emphasis">
    <w:name w:val="Emphasis"/>
    <w:basedOn w:val="DefaultParagraphFont"/>
    <w:uiPriority w:val="20"/>
    <w:qFormat/>
    <w:rsid w:val="00E20CDF"/>
    <w:rPr>
      <w:i/>
      <w:iCs/>
    </w:rPr>
  </w:style>
  <w:style w:type="character" w:styleId="FollowedHyperlink">
    <w:name w:val="FollowedHyperlink"/>
    <w:basedOn w:val="DefaultParagraphFont"/>
    <w:uiPriority w:val="99"/>
    <w:semiHidden/>
    <w:unhideWhenUsed/>
    <w:rsid w:val="00006408"/>
    <w:rPr>
      <w:color w:val="954F72" w:themeColor="followedHyperlink"/>
      <w:u w:val="single"/>
    </w:rPr>
  </w:style>
  <w:style w:type="paragraph" w:styleId="BodyText">
    <w:name w:val="Body Text"/>
    <w:basedOn w:val="Normal"/>
    <w:link w:val="BodyTextChar"/>
    <w:qFormat/>
    <w:rsid w:val="00346037"/>
    <w:pPr>
      <w:spacing w:line="300" w:lineRule="auto"/>
    </w:pPr>
    <w:rPr>
      <w:rFonts w:eastAsia="FontAwesome" w:cs="FontAwesome"/>
      <w:color w:val="auto"/>
    </w:rPr>
  </w:style>
  <w:style w:type="character" w:customStyle="1" w:styleId="BodyTextChar">
    <w:name w:val="Body Text Char"/>
    <w:basedOn w:val="DefaultParagraphFont"/>
    <w:link w:val="BodyText"/>
    <w:rsid w:val="00346037"/>
    <w:rPr>
      <w:rFonts w:ascii="Arial" w:eastAsia="FontAwesome" w:hAnsi="Arial" w:cs="FontAwesome"/>
      <w:sz w:val="20"/>
      <w:szCs w:val="20"/>
    </w:rPr>
  </w:style>
  <w:style w:type="character" w:styleId="Mention">
    <w:name w:val="Mention"/>
    <w:basedOn w:val="DefaultParagraphFont"/>
    <w:uiPriority w:val="99"/>
    <w:unhideWhenUsed/>
    <w:rsid w:val="008164E8"/>
    <w:rPr>
      <w:color w:val="2B579A"/>
      <w:shd w:val="clear" w:color="auto" w:fill="E1DFDD"/>
    </w:rPr>
  </w:style>
  <w:style w:type="paragraph" w:styleId="Revision">
    <w:name w:val="Revision"/>
    <w:hidden/>
    <w:uiPriority w:val="99"/>
    <w:semiHidden/>
    <w:rsid w:val="004304E0"/>
    <w:pPr>
      <w:spacing w:after="0" w:line="240" w:lineRule="auto"/>
    </w:pPr>
    <w:rPr>
      <w:rFonts w:ascii="Arial" w:eastAsiaTheme="minorEastAsia" w:hAnsi="Arial" w:cs="Arial"/>
      <w:color w:val="000000" w:themeColor="text1"/>
      <w:sz w:val="20"/>
      <w:szCs w:val="20"/>
    </w:rPr>
  </w:style>
  <w:style w:type="table" w:styleId="GridTable4-Accent1">
    <w:name w:val="Grid Table 4 Accent 1"/>
    <w:basedOn w:val="TableNormal"/>
    <w:uiPriority w:val="49"/>
    <w:rsid w:val="001F053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53791D"/>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customStyle="1" w:styleId="cf01">
    <w:name w:val="cf01"/>
    <w:basedOn w:val="DefaultParagraphFont"/>
    <w:rsid w:val="005379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9459">
      <w:bodyDiv w:val="1"/>
      <w:marLeft w:val="0"/>
      <w:marRight w:val="0"/>
      <w:marTop w:val="0"/>
      <w:marBottom w:val="0"/>
      <w:divBdr>
        <w:top w:val="none" w:sz="0" w:space="0" w:color="auto"/>
        <w:left w:val="none" w:sz="0" w:space="0" w:color="auto"/>
        <w:bottom w:val="none" w:sz="0" w:space="0" w:color="auto"/>
        <w:right w:val="none" w:sz="0" w:space="0" w:color="auto"/>
      </w:divBdr>
      <w:divsChild>
        <w:div w:id="1141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7499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975600">
      <w:bodyDiv w:val="1"/>
      <w:marLeft w:val="0"/>
      <w:marRight w:val="0"/>
      <w:marTop w:val="0"/>
      <w:marBottom w:val="0"/>
      <w:divBdr>
        <w:top w:val="none" w:sz="0" w:space="0" w:color="auto"/>
        <w:left w:val="none" w:sz="0" w:space="0" w:color="auto"/>
        <w:bottom w:val="none" w:sz="0" w:space="0" w:color="auto"/>
        <w:right w:val="none" w:sz="0" w:space="0" w:color="auto"/>
      </w:divBdr>
    </w:div>
    <w:div w:id="447815747">
      <w:bodyDiv w:val="1"/>
      <w:marLeft w:val="0"/>
      <w:marRight w:val="0"/>
      <w:marTop w:val="0"/>
      <w:marBottom w:val="0"/>
      <w:divBdr>
        <w:top w:val="none" w:sz="0" w:space="0" w:color="auto"/>
        <w:left w:val="none" w:sz="0" w:space="0" w:color="auto"/>
        <w:bottom w:val="none" w:sz="0" w:space="0" w:color="auto"/>
        <w:right w:val="none" w:sz="0" w:space="0" w:color="auto"/>
      </w:divBdr>
    </w:div>
    <w:div w:id="534538865">
      <w:bodyDiv w:val="1"/>
      <w:marLeft w:val="0"/>
      <w:marRight w:val="0"/>
      <w:marTop w:val="0"/>
      <w:marBottom w:val="0"/>
      <w:divBdr>
        <w:top w:val="none" w:sz="0" w:space="0" w:color="auto"/>
        <w:left w:val="none" w:sz="0" w:space="0" w:color="auto"/>
        <w:bottom w:val="none" w:sz="0" w:space="0" w:color="auto"/>
        <w:right w:val="none" w:sz="0" w:space="0" w:color="auto"/>
      </w:divBdr>
    </w:div>
    <w:div w:id="882595832">
      <w:bodyDiv w:val="1"/>
      <w:marLeft w:val="0"/>
      <w:marRight w:val="0"/>
      <w:marTop w:val="0"/>
      <w:marBottom w:val="0"/>
      <w:divBdr>
        <w:top w:val="none" w:sz="0" w:space="0" w:color="auto"/>
        <w:left w:val="none" w:sz="0" w:space="0" w:color="auto"/>
        <w:bottom w:val="none" w:sz="0" w:space="0" w:color="auto"/>
        <w:right w:val="none" w:sz="0" w:space="0" w:color="auto"/>
      </w:divBdr>
    </w:div>
    <w:div w:id="1020740880">
      <w:bodyDiv w:val="1"/>
      <w:marLeft w:val="0"/>
      <w:marRight w:val="0"/>
      <w:marTop w:val="0"/>
      <w:marBottom w:val="0"/>
      <w:divBdr>
        <w:top w:val="none" w:sz="0" w:space="0" w:color="auto"/>
        <w:left w:val="none" w:sz="0" w:space="0" w:color="auto"/>
        <w:bottom w:val="none" w:sz="0" w:space="0" w:color="auto"/>
        <w:right w:val="none" w:sz="0" w:space="0" w:color="auto"/>
      </w:divBdr>
    </w:div>
    <w:div w:id="1038043049">
      <w:bodyDiv w:val="1"/>
      <w:marLeft w:val="0"/>
      <w:marRight w:val="0"/>
      <w:marTop w:val="0"/>
      <w:marBottom w:val="0"/>
      <w:divBdr>
        <w:top w:val="none" w:sz="0" w:space="0" w:color="auto"/>
        <w:left w:val="none" w:sz="0" w:space="0" w:color="auto"/>
        <w:bottom w:val="none" w:sz="0" w:space="0" w:color="auto"/>
        <w:right w:val="none" w:sz="0" w:space="0" w:color="auto"/>
      </w:divBdr>
    </w:div>
    <w:div w:id="1215310142">
      <w:bodyDiv w:val="1"/>
      <w:marLeft w:val="0"/>
      <w:marRight w:val="0"/>
      <w:marTop w:val="0"/>
      <w:marBottom w:val="0"/>
      <w:divBdr>
        <w:top w:val="none" w:sz="0" w:space="0" w:color="auto"/>
        <w:left w:val="none" w:sz="0" w:space="0" w:color="auto"/>
        <w:bottom w:val="none" w:sz="0" w:space="0" w:color="auto"/>
        <w:right w:val="none" w:sz="0" w:space="0" w:color="auto"/>
      </w:divBdr>
    </w:div>
    <w:div w:id="1431966632">
      <w:bodyDiv w:val="1"/>
      <w:marLeft w:val="0"/>
      <w:marRight w:val="0"/>
      <w:marTop w:val="0"/>
      <w:marBottom w:val="0"/>
      <w:divBdr>
        <w:top w:val="none" w:sz="0" w:space="0" w:color="auto"/>
        <w:left w:val="none" w:sz="0" w:space="0" w:color="auto"/>
        <w:bottom w:val="none" w:sz="0" w:space="0" w:color="auto"/>
        <w:right w:val="none" w:sz="0" w:space="0" w:color="auto"/>
      </w:divBdr>
    </w:div>
    <w:div w:id="1469591328">
      <w:bodyDiv w:val="1"/>
      <w:marLeft w:val="0"/>
      <w:marRight w:val="0"/>
      <w:marTop w:val="0"/>
      <w:marBottom w:val="0"/>
      <w:divBdr>
        <w:top w:val="none" w:sz="0" w:space="0" w:color="auto"/>
        <w:left w:val="none" w:sz="0" w:space="0" w:color="auto"/>
        <w:bottom w:val="none" w:sz="0" w:space="0" w:color="auto"/>
        <w:right w:val="none" w:sz="0" w:space="0" w:color="auto"/>
      </w:divBdr>
      <w:divsChild>
        <w:div w:id="263149444">
          <w:marLeft w:val="0"/>
          <w:marRight w:val="0"/>
          <w:marTop w:val="0"/>
          <w:marBottom w:val="0"/>
          <w:divBdr>
            <w:top w:val="none" w:sz="0" w:space="0" w:color="auto"/>
            <w:left w:val="none" w:sz="0" w:space="0" w:color="auto"/>
            <w:bottom w:val="none" w:sz="0" w:space="0" w:color="auto"/>
            <w:right w:val="none" w:sz="0" w:space="0" w:color="auto"/>
          </w:divBdr>
        </w:div>
        <w:div w:id="298075304">
          <w:marLeft w:val="0"/>
          <w:marRight w:val="0"/>
          <w:marTop w:val="0"/>
          <w:marBottom w:val="0"/>
          <w:divBdr>
            <w:top w:val="none" w:sz="0" w:space="0" w:color="auto"/>
            <w:left w:val="none" w:sz="0" w:space="0" w:color="auto"/>
            <w:bottom w:val="none" w:sz="0" w:space="0" w:color="auto"/>
            <w:right w:val="none" w:sz="0" w:space="0" w:color="auto"/>
          </w:divBdr>
        </w:div>
        <w:div w:id="381103269">
          <w:marLeft w:val="0"/>
          <w:marRight w:val="0"/>
          <w:marTop w:val="0"/>
          <w:marBottom w:val="0"/>
          <w:divBdr>
            <w:top w:val="none" w:sz="0" w:space="0" w:color="auto"/>
            <w:left w:val="none" w:sz="0" w:space="0" w:color="auto"/>
            <w:bottom w:val="none" w:sz="0" w:space="0" w:color="auto"/>
            <w:right w:val="none" w:sz="0" w:space="0" w:color="auto"/>
          </w:divBdr>
        </w:div>
        <w:div w:id="459223502">
          <w:marLeft w:val="0"/>
          <w:marRight w:val="0"/>
          <w:marTop w:val="0"/>
          <w:marBottom w:val="0"/>
          <w:divBdr>
            <w:top w:val="none" w:sz="0" w:space="0" w:color="auto"/>
            <w:left w:val="none" w:sz="0" w:space="0" w:color="auto"/>
            <w:bottom w:val="none" w:sz="0" w:space="0" w:color="auto"/>
            <w:right w:val="none" w:sz="0" w:space="0" w:color="auto"/>
          </w:divBdr>
        </w:div>
        <w:div w:id="705525924">
          <w:marLeft w:val="0"/>
          <w:marRight w:val="0"/>
          <w:marTop w:val="0"/>
          <w:marBottom w:val="0"/>
          <w:divBdr>
            <w:top w:val="none" w:sz="0" w:space="0" w:color="auto"/>
            <w:left w:val="none" w:sz="0" w:space="0" w:color="auto"/>
            <w:bottom w:val="none" w:sz="0" w:space="0" w:color="auto"/>
            <w:right w:val="none" w:sz="0" w:space="0" w:color="auto"/>
          </w:divBdr>
        </w:div>
        <w:div w:id="711616028">
          <w:marLeft w:val="0"/>
          <w:marRight w:val="0"/>
          <w:marTop w:val="0"/>
          <w:marBottom w:val="0"/>
          <w:divBdr>
            <w:top w:val="none" w:sz="0" w:space="0" w:color="auto"/>
            <w:left w:val="none" w:sz="0" w:space="0" w:color="auto"/>
            <w:bottom w:val="none" w:sz="0" w:space="0" w:color="auto"/>
            <w:right w:val="none" w:sz="0" w:space="0" w:color="auto"/>
          </w:divBdr>
        </w:div>
        <w:div w:id="759718107">
          <w:marLeft w:val="0"/>
          <w:marRight w:val="0"/>
          <w:marTop w:val="0"/>
          <w:marBottom w:val="0"/>
          <w:divBdr>
            <w:top w:val="none" w:sz="0" w:space="0" w:color="auto"/>
            <w:left w:val="none" w:sz="0" w:space="0" w:color="auto"/>
            <w:bottom w:val="none" w:sz="0" w:space="0" w:color="auto"/>
            <w:right w:val="none" w:sz="0" w:space="0" w:color="auto"/>
          </w:divBdr>
        </w:div>
        <w:div w:id="1268197636">
          <w:marLeft w:val="0"/>
          <w:marRight w:val="0"/>
          <w:marTop w:val="0"/>
          <w:marBottom w:val="0"/>
          <w:divBdr>
            <w:top w:val="none" w:sz="0" w:space="0" w:color="auto"/>
            <w:left w:val="none" w:sz="0" w:space="0" w:color="auto"/>
            <w:bottom w:val="none" w:sz="0" w:space="0" w:color="auto"/>
            <w:right w:val="none" w:sz="0" w:space="0" w:color="auto"/>
          </w:divBdr>
        </w:div>
        <w:div w:id="1687518469">
          <w:marLeft w:val="0"/>
          <w:marRight w:val="0"/>
          <w:marTop w:val="0"/>
          <w:marBottom w:val="0"/>
          <w:divBdr>
            <w:top w:val="none" w:sz="0" w:space="0" w:color="auto"/>
            <w:left w:val="none" w:sz="0" w:space="0" w:color="auto"/>
            <w:bottom w:val="none" w:sz="0" w:space="0" w:color="auto"/>
            <w:right w:val="none" w:sz="0" w:space="0" w:color="auto"/>
          </w:divBdr>
        </w:div>
        <w:div w:id="1939175589">
          <w:marLeft w:val="0"/>
          <w:marRight w:val="0"/>
          <w:marTop w:val="0"/>
          <w:marBottom w:val="0"/>
          <w:divBdr>
            <w:top w:val="none" w:sz="0" w:space="0" w:color="auto"/>
            <w:left w:val="none" w:sz="0" w:space="0" w:color="auto"/>
            <w:bottom w:val="none" w:sz="0" w:space="0" w:color="auto"/>
            <w:right w:val="none" w:sz="0" w:space="0" w:color="auto"/>
          </w:divBdr>
        </w:div>
        <w:div w:id="1950698986">
          <w:marLeft w:val="0"/>
          <w:marRight w:val="0"/>
          <w:marTop w:val="0"/>
          <w:marBottom w:val="0"/>
          <w:divBdr>
            <w:top w:val="none" w:sz="0" w:space="0" w:color="auto"/>
            <w:left w:val="none" w:sz="0" w:space="0" w:color="auto"/>
            <w:bottom w:val="none" w:sz="0" w:space="0" w:color="auto"/>
            <w:right w:val="none" w:sz="0" w:space="0" w:color="auto"/>
          </w:divBdr>
        </w:div>
        <w:div w:id="1955865302">
          <w:marLeft w:val="0"/>
          <w:marRight w:val="0"/>
          <w:marTop w:val="0"/>
          <w:marBottom w:val="0"/>
          <w:divBdr>
            <w:top w:val="none" w:sz="0" w:space="0" w:color="auto"/>
            <w:left w:val="none" w:sz="0" w:space="0" w:color="auto"/>
            <w:bottom w:val="none" w:sz="0" w:space="0" w:color="auto"/>
            <w:right w:val="none" w:sz="0" w:space="0" w:color="auto"/>
          </w:divBdr>
        </w:div>
        <w:div w:id="1959214969">
          <w:marLeft w:val="0"/>
          <w:marRight w:val="0"/>
          <w:marTop w:val="0"/>
          <w:marBottom w:val="0"/>
          <w:divBdr>
            <w:top w:val="none" w:sz="0" w:space="0" w:color="auto"/>
            <w:left w:val="none" w:sz="0" w:space="0" w:color="auto"/>
            <w:bottom w:val="none" w:sz="0" w:space="0" w:color="auto"/>
            <w:right w:val="none" w:sz="0" w:space="0" w:color="auto"/>
          </w:divBdr>
        </w:div>
        <w:div w:id="2038040942">
          <w:marLeft w:val="0"/>
          <w:marRight w:val="0"/>
          <w:marTop w:val="0"/>
          <w:marBottom w:val="0"/>
          <w:divBdr>
            <w:top w:val="none" w:sz="0" w:space="0" w:color="auto"/>
            <w:left w:val="none" w:sz="0" w:space="0" w:color="auto"/>
            <w:bottom w:val="none" w:sz="0" w:space="0" w:color="auto"/>
            <w:right w:val="none" w:sz="0" w:space="0" w:color="auto"/>
          </w:divBdr>
        </w:div>
      </w:divsChild>
    </w:div>
    <w:div w:id="1547448326">
      <w:bodyDiv w:val="1"/>
      <w:marLeft w:val="0"/>
      <w:marRight w:val="0"/>
      <w:marTop w:val="0"/>
      <w:marBottom w:val="0"/>
      <w:divBdr>
        <w:top w:val="none" w:sz="0" w:space="0" w:color="auto"/>
        <w:left w:val="none" w:sz="0" w:space="0" w:color="auto"/>
        <w:bottom w:val="none" w:sz="0" w:space="0" w:color="auto"/>
        <w:right w:val="none" w:sz="0" w:space="0" w:color="auto"/>
      </w:divBdr>
    </w:div>
    <w:div w:id="1892880861">
      <w:bodyDiv w:val="1"/>
      <w:marLeft w:val="0"/>
      <w:marRight w:val="0"/>
      <w:marTop w:val="0"/>
      <w:marBottom w:val="0"/>
      <w:divBdr>
        <w:top w:val="none" w:sz="0" w:space="0" w:color="auto"/>
        <w:left w:val="none" w:sz="0" w:space="0" w:color="auto"/>
        <w:bottom w:val="none" w:sz="0" w:space="0" w:color="auto"/>
        <w:right w:val="none" w:sz="0" w:space="0" w:color="auto"/>
      </w:divBdr>
    </w:div>
    <w:div w:id="1966305563">
      <w:bodyDiv w:val="1"/>
      <w:marLeft w:val="0"/>
      <w:marRight w:val="0"/>
      <w:marTop w:val="0"/>
      <w:marBottom w:val="0"/>
      <w:divBdr>
        <w:top w:val="none" w:sz="0" w:space="0" w:color="auto"/>
        <w:left w:val="none" w:sz="0" w:space="0" w:color="auto"/>
        <w:bottom w:val="none" w:sz="0" w:space="0" w:color="auto"/>
        <w:right w:val="none" w:sz="0" w:space="0" w:color="auto"/>
      </w:divBdr>
      <w:divsChild>
        <w:div w:id="5404543">
          <w:marLeft w:val="0"/>
          <w:marRight w:val="0"/>
          <w:marTop w:val="0"/>
          <w:marBottom w:val="0"/>
          <w:divBdr>
            <w:top w:val="none" w:sz="0" w:space="0" w:color="auto"/>
            <w:left w:val="none" w:sz="0" w:space="0" w:color="auto"/>
            <w:bottom w:val="none" w:sz="0" w:space="0" w:color="auto"/>
            <w:right w:val="none" w:sz="0" w:space="0" w:color="auto"/>
          </w:divBdr>
        </w:div>
        <w:div w:id="8606074">
          <w:marLeft w:val="0"/>
          <w:marRight w:val="0"/>
          <w:marTop w:val="0"/>
          <w:marBottom w:val="0"/>
          <w:divBdr>
            <w:top w:val="none" w:sz="0" w:space="0" w:color="auto"/>
            <w:left w:val="none" w:sz="0" w:space="0" w:color="auto"/>
            <w:bottom w:val="none" w:sz="0" w:space="0" w:color="auto"/>
            <w:right w:val="none" w:sz="0" w:space="0" w:color="auto"/>
          </w:divBdr>
        </w:div>
        <w:div w:id="8870421">
          <w:marLeft w:val="0"/>
          <w:marRight w:val="0"/>
          <w:marTop w:val="0"/>
          <w:marBottom w:val="0"/>
          <w:divBdr>
            <w:top w:val="none" w:sz="0" w:space="0" w:color="auto"/>
            <w:left w:val="none" w:sz="0" w:space="0" w:color="auto"/>
            <w:bottom w:val="none" w:sz="0" w:space="0" w:color="auto"/>
            <w:right w:val="none" w:sz="0" w:space="0" w:color="auto"/>
          </w:divBdr>
          <w:divsChild>
            <w:div w:id="108597122">
              <w:marLeft w:val="0"/>
              <w:marRight w:val="0"/>
              <w:marTop w:val="0"/>
              <w:marBottom w:val="0"/>
              <w:divBdr>
                <w:top w:val="none" w:sz="0" w:space="0" w:color="auto"/>
                <w:left w:val="none" w:sz="0" w:space="0" w:color="auto"/>
                <w:bottom w:val="none" w:sz="0" w:space="0" w:color="auto"/>
                <w:right w:val="none" w:sz="0" w:space="0" w:color="auto"/>
              </w:divBdr>
            </w:div>
            <w:div w:id="180318612">
              <w:marLeft w:val="0"/>
              <w:marRight w:val="0"/>
              <w:marTop w:val="0"/>
              <w:marBottom w:val="0"/>
              <w:divBdr>
                <w:top w:val="none" w:sz="0" w:space="0" w:color="auto"/>
                <w:left w:val="none" w:sz="0" w:space="0" w:color="auto"/>
                <w:bottom w:val="none" w:sz="0" w:space="0" w:color="auto"/>
                <w:right w:val="none" w:sz="0" w:space="0" w:color="auto"/>
              </w:divBdr>
            </w:div>
            <w:div w:id="1713308849">
              <w:marLeft w:val="0"/>
              <w:marRight w:val="0"/>
              <w:marTop w:val="0"/>
              <w:marBottom w:val="0"/>
              <w:divBdr>
                <w:top w:val="none" w:sz="0" w:space="0" w:color="auto"/>
                <w:left w:val="none" w:sz="0" w:space="0" w:color="auto"/>
                <w:bottom w:val="none" w:sz="0" w:space="0" w:color="auto"/>
                <w:right w:val="none" w:sz="0" w:space="0" w:color="auto"/>
              </w:divBdr>
            </w:div>
            <w:div w:id="1763721168">
              <w:marLeft w:val="0"/>
              <w:marRight w:val="0"/>
              <w:marTop w:val="0"/>
              <w:marBottom w:val="0"/>
              <w:divBdr>
                <w:top w:val="none" w:sz="0" w:space="0" w:color="auto"/>
                <w:left w:val="none" w:sz="0" w:space="0" w:color="auto"/>
                <w:bottom w:val="none" w:sz="0" w:space="0" w:color="auto"/>
                <w:right w:val="none" w:sz="0" w:space="0" w:color="auto"/>
              </w:divBdr>
            </w:div>
            <w:div w:id="1859612316">
              <w:marLeft w:val="0"/>
              <w:marRight w:val="0"/>
              <w:marTop w:val="0"/>
              <w:marBottom w:val="0"/>
              <w:divBdr>
                <w:top w:val="none" w:sz="0" w:space="0" w:color="auto"/>
                <w:left w:val="none" w:sz="0" w:space="0" w:color="auto"/>
                <w:bottom w:val="none" w:sz="0" w:space="0" w:color="auto"/>
                <w:right w:val="none" w:sz="0" w:space="0" w:color="auto"/>
              </w:divBdr>
            </w:div>
          </w:divsChild>
        </w:div>
        <w:div w:id="11928336">
          <w:marLeft w:val="0"/>
          <w:marRight w:val="0"/>
          <w:marTop w:val="0"/>
          <w:marBottom w:val="0"/>
          <w:divBdr>
            <w:top w:val="none" w:sz="0" w:space="0" w:color="auto"/>
            <w:left w:val="none" w:sz="0" w:space="0" w:color="auto"/>
            <w:bottom w:val="none" w:sz="0" w:space="0" w:color="auto"/>
            <w:right w:val="none" w:sz="0" w:space="0" w:color="auto"/>
          </w:divBdr>
        </w:div>
        <w:div w:id="15890798">
          <w:marLeft w:val="0"/>
          <w:marRight w:val="0"/>
          <w:marTop w:val="0"/>
          <w:marBottom w:val="0"/>
          <w:divBdr>
            <w:top w:val="none" w:sz="0" w:space="0" w:color="auto"/>
            <w:left w:val="none" w:sz="0" w:space="0" w:color="auto"/>
            <w:bottom w:val="none" w:sz="0" w:space="0" w:color="auto"/>
            <w:right w:val="none" w:sz="0" w:space="0" w:color="auto"/>
          </w:divBdr>
        </w:div>
        <w:div w:id="19016176">
          <w:marLeft w:val="0"/>
          <w:marRight w:val="0"/>
          <w:marTop w:val="0"/>
          <w:marBottom w:val="0"/>
          <w:divBdr>
            <w:top w:val="none" w:sz="0" w:space="0" w:color="auto"/>
            <w:left w:val="none" w:sz="0" w:space="0" w:color="auto"/>
            <w:bottom w:val="none" w:sz="0" w:space="0" w:color="auto"/>
            <w:right w:val="none" w:sz="0" w:space="0" w:color="auto"/>
          </w:divBdr>
        </w:div>
        <w:div w:id="28184184">
          <w:marLeft w:val="0"/>
          <w:marRight w:val="0"/>
          <w:marTop w:val="0"/>
          <w:marBottom w:val="0"/>
          <w:divBdr>
            <w:top w:val="none" w:sz="0" w:space="0" w:color="auto"/>
            <w:left w:val="none" w:sz="0" w:space="0" w:color="auto"/>
            <w:bottom w:val="none" w:sz="0" w:space="0" w:color="auto"/>
            <w:right w:val="none" w:sz="0" w:space="0" w:color="auto"/>
          </w:divBdr>
        </w:div>
        <w:div w:id="32851909">
          <w:marLeft w:val="0"/>
          <w:marRight w:val="0"/>
          <w:marTop w:val="0"/>
          <w:marBottom w:val="0"/>
          <w:divBdr>
            <w:top w:val="none" w:sz="0" w:space="0" w:color="auto"/>
            <w:left w:val="none" w:sz="0" w:space="0" w:color="auto"/>
            <w:bottom w:val="none" w:sz="0" w:space="0" w:color="auto"/>
            <w:right w:val="none" w:sz="0" w:space="0" w:color="auto"/>
          </w:divBdr>
        </w:div>
        <w:div w:id="46414295">
          <w:marLeft w:val="0"/>
          <w:marRight w:val="0"/>
          <w:marTop w:val="0"/>
          <w:marBottom w:val="0"/>
          <w:divBdr>
            <w:top w:val="none" w:sz="0" w:space="0" w:color="auto"/>
            <w:left w:val="none" w:sz="0" w:space="0" w:color="auto"/>
            <w:bottom w:val="none" w:sz="0" w:space="0" w:color="auto"/>
            <w:right w:val="none" w:sz="0" w:space="0" w:color="auto"/>
          </w:divBdr>
        </w:div>
        <w:div w:id="59793535">
          <w:marLeft w:val="0"/>
          <w:marRight w:val="0"/>
          <w:marTop w:val="0"/>
          <w:marBottom w:val="0"/>
          <w:divBdr>
            <w:top w:val="none" w:sz="0" w:space="0" w:color="auto"/>
            <w:left w:val="none" w:sz="0" w:space="0" w:color="auto"/>
            <w:bottom w:val="none" w:sz="0" w:space="0" w:color="auto"/>
            <w:right w:val="none" w:sz="0" w:space="0" w:color="auto"/>
          </w:divBdr>
        </w:div>
        <w:div w:id="101581200">
          <w:marLeft w:val="0"/>
          <w:marRight w:val="0"/>
          <w:marTop w:val="0"/>
          <w:marBottom w:val="0"/>
          <w:divBdr>
            <w:top w:val="none" w:sz="0" w:space="0" w:color="auto"/>
            <w:left w:val="none" w:sz="0" w:space="0" w:color="auto"/>
            <w:bottom w:val="none" w:sz="0" w:space="0" w:color="auto"/>
            <w:right w:val="none" w:sz="0" w:space="0" w:color="auto"/>
          </w:divBdr>
        </w:div>
        <w:div w:id="106897283">
          <w:marLeft w:val="0"/>
          <w:marRight w:val="0"/>
          <w:marTop w:val="0"/>
          <w:marBottom w:val="0"/>
          <w:divBdr>
            <w:top w:val="none" w:sz="0" w:space="0" w:color="auto"/>
            <w:left w:val="none" w:sz="0" w:space="0" w:color="auto"/>
            <w:bottom w:val="none" w:sz="0" w:space="0" w:color="auto"/>
            <w:right w:val="none" w:sz="0" w:space="0" w:color="auto"/>
          </w:divBdr>
        </w:div>
        <w:div w:id="113597013">
          <w:marLeft w:val="0"/>
          <w:marRight w:val="0"/>
          <w:marTop w:val="0"/>
          <w:marBottom w:val="0"/>
          <w:divBdr>
            <w:top w:val="none" w:sz="0" w:space="0" w:color="auto"/>
            <w:left w:val="none" w:sz="0" w:space="0" w:color="auto"/>
            <w:bottom w:val="none" w:sz="0" w:space="0" w:color="auto"/>
            <w:right w:val="none" w:sz="0" w:space="0" w:color="auto"/>
          </w:divBdr>
        </w:div>
        <w:div w:id="116145036">
          <w:marLeft w:val="0"/>
          <w:marRight w:val="0"/>
          <w:marTop w:val="0"/>
          <w:marBottom w:val="0"/>
          <w:divBdr>
            <w:top w:val="none" w:sz="0" w:space="0" w:color="auto"/>
            <w:left w:val="none" w:sz="0" w:space="0" w:color="auto"/>
            <w:bottom w:val="none" w:sz="0" w:space="0" w:color="auto"/>
            <w:right w:val="none" w:sz="0" w:space="0" w:color="auto"/>
          </w:divBdr>
        </w:div>
        <w:div w:id="128939292">
          <w:marLeft w:val="0"/>
          <w:marRight w:val="0"/>
          <w:marTop w:val="0"/>
          <w:marBottom w:val="0"/>
          <w:divBdr>
            <w:top w:val="none" w:sz="0" w:space="0" w:color="auto"/>
            <w:left w:val="none" w:sz="0" w:space="0" w:color="auto"/>
            <w:bottom w:val="none" w:sz="0" w:space="0" w:color="auto"/>
            <w:right w:val="none" w:sz="0" w:space="0" w:color="auto"/>
          </w:divBdr>
        </w:div>
        <w:div w:id="132336030">
          <w:marLeft w:val="0"/>
          <w:marRight w:val="0"/>
          <w:marTop w:val="0"/>
          <w:marBottom w:val="0"/>
          <w:divBdr>
            <w:top w:val="none" w:sz="0" w:space="0" w:color="auto"/>
            <w:left w:val="none" w:sz="0" w:space="0" w:color="auto"/>
            <w:bottom w:val="none" w:sz="0" w:space="0" w:color="auto"/>
            <w:right w:val="none" w:sz="0" w:space="0" w:color="auto"/>
          </w:divBdr>
        </w:div>
        <w:div w:id="134294552">
          <w:marLeft w:val="0"/>
          <w:marRight w:val="0"/>
          <w:marTop w:val="0"/>
          <w:marBottom w:val="0"/>
          <w:divBdr>
            <w:top w:val="none" w:sz="0" w:space="0" w:color="auto"/>
            <w:left w:val="none" w:sz="0" w:space="0" w:color="auto"/>
            <w:bottom w:val="none" w:sz="0" w:space="0" w:color="auto"/>
            <w:right w:val="none" w:sz="0" w:space="0" w:color="auto"/>
          </w:divBdr>
        </w:div>
        <w:div w:id="134445210">
          <w:marLeft w:val="0"/>
          <w:marRight w:val="0"/>
          <w:marTop w:val="0"/>
          <w:marBottom w:val="0"/>
          <w:divBdr>
            <w:top w:val="none" w:sz="0" w:space="0" w:color="auto"/>
            <w:left w:val="none" w:sz="0" w:space="0" w:color="auto"/>
            <w:bottom w:val="none" w:sz="0" w:space="0" w:color="auto"/>
            <w:right w:val="none" w:sz="0" w:space="0" w:color="auto"/>
          </w:divBdr>
        </w:div>
        <w:div w:id="149952880">
          <w:marLeft w:val="0"/>
          <w:marRight w:val="0"/>
          <w:marTop w:val="0"/>
          <w:marBottom w:val="0"/>
          <w:divBdr>
            <w:top w:val="none" w:sz="0" w:space="0" w:color="auto"/>
            <w:left w:val="none" w:sz="0" w:space="0" w:color="auto"/>
            <w:bottom w:val="none" w:sz="0" w:space="0" w:color="auto"/>
            <w:right w:val="none" w:sz="0" w:space="0" w:color="auto"/>
          </w:divBdr>
        </w:div>
        <w:div w:id="152306263">
          <w:marLeft w:val="0"/>
          <w:marRight w:val="0"/>
          <w:marTop w:val="0"/>
          <w:marBottom w:val="0"/>
          <w:divBdr>
            <w:top w:val="none" w:sz="0" w:space="0" w:color="auto"/>
            <w:left w:val="none" w:sz="0" w:space="0" w:color="auto"/>
            <w:bottom w:val="none" w:sz="0" w:space="0" w:color="auto"/>
            <w:right w:val="none" w:sz="0" w:space="0" w:color="auto"/>
          </w:divBdr>
          <w:divsChild>
            <w:div w:id="447043551">
              <w:marLeft w:val="0"/>
              <w:marRight w:val="0"/>
              <w:marTop w:val="0"/>
              <w:marBottom w:val="0"/>
              <w:divBdr>
                <w:top w:val="none" w:sz="0" w:space="0" w:color="auto"/>
                <w:left w:val="none" w:sz="0" w:space="0" w:color="auto"/>
                <w:bottom w:val="none" w:sz="0" w:space="0" w:color="auto"/>
                <w:right w:val="none" w:sz="0" w:space="0" w:color="auto"/>
              </w:divBdr>
            </w:div>
            <w:div w:id="473252856">
              <w:marLeft w:val="0"/>
              <w:marRight w:val="0"/>
              <w:marTop w:val="0"/>
              <w:marBottom w:val="0"/>
              <w:divBdr>
                <w:top w:val="none" w:sz="0" w:space="0" w:color="auto"/>
                <w:left w:val="none" w:sz="0" w:space="0" w:color="auto"/>
                <w:bottom w:val="none" w:sz="0" w:space="0" w:color="auto"/>
                <w:right w:val="none" w:sz="0" w:space="0" w:color="auto"/>
              </w:divBdr>
            </w:div>
            <w:div w:id="570967653">
              <w:marLeft w:val="0"/>
              <w:marRight w:val="0"/>
              <w:marTop w:val="0"/>
              <w:marBottom w:val="0"/>
              <w:divBdr>
                <w:top w:val="none" w:sz="0" w:space="0" w:color="auto"/>
                <w:left w:val="none" w:sz="0" w:space="0" w:color="auto"/>
                <w:bottom w:val="none" w:sz="0" w:space="0" w:color="auto"/>
                <w:right w:val="none" w:sz="0" w:space="0" w:color="auto"/>
              </w:divBdr>
            </w:div>
            <w:div w:id="779952368">
              <w:marLeft w:val="0"/>
              <w:marRight w:val="0"/>
              <w:marTop w:val="0"/>
              <w:marBottom w:val="0"/>
              <w:divBdr>
                <w:top w:val="none" w:sz="0" w:space="0" w:color="auto"/>
                <w:left w:val="none" w:sz="0" w:space="0" w:color="auto"/>
                <w:bottom w:val="none" w:sz="0" w:space="0" w:color="auto"/>
                <w:right w:val="none" w:sz="0" w:space="0" w:color="auto"/>
              </w:divBdr>
            </w:div>
            <w:div w:id="805467725">
              <w:marLeft w:val="0"/>
              <w:marRight w:val="0"/>
              <w:marTop w:val="0"/>
              <w:marBottom w:val="0"/>
              <w:divBdr>
                <w:top w:val="none" w:sz="0" w:space="0" w:color="auto"/>
                <w:left w:val="none" w:sz="0" w:space="0" w:color="auto"/>
                <w:bottom w:val="none" w:sz="0" w:space="0" w:color="auto"/>
                <w:right w:val="none" w:sz="0" w:space="0" w:color="auto"/>
              </w:divBdr>
            </w:div>
          </w:divsChild>
        </w:div>
        <w:div w:id="166218198">
          <w:marLeft w:val="0"/>
          <w:marRight w:val="0"/>
          <w:marTop w:val="0"/>
          <w:marBottom w:val="0"/>
          <w:divBdr>
            <w:top w:val="none" w:sz="0" w:space="0" w:color="auto"/>
            <w:left w:val="none" w:sz="0" w:space="0" w:color="auto"/>
            <w:bottom w:val="none" w:sz="0" w:space="0" w:color="auto"/>
            <w:right w:val="none" w:sz="0" w:space="0" w:color="auto"/>
          </w:divBdr>
        </w:div>
        <w:div w:id="184371791">
          <w:marLeft w:val="0"/>
          <w:marRight w:val="0"/>
          <w:marTop w:val="0"/>
          <w:marBottom w:val="0"/>
          <w:divBdr>
            <w:top w:val="none" w:sz="0" w:space="0" w:color="auto"/>
            <w:left w:val="none" w:sz="0" w:space="0" w:color="auto"/>
            <w:bottom w:val="none" w:sz="0" w:space="0" w:color="auto"/>
            <w:right w:val="none" w:sz="0" w:space="0" w:color="auto"/>
          </w:divBdr>
        </w:div>
        <w:div w:id="187644604">
          <w:marLeft w:val="0"/>
          <w:marRight w:val="0"/>
          <w:marTop w:val="0"/>
          <w:marBottom w:val="0"/>
          <w:divBdr>
            <w:top w:val="none" w:sz="0" w:space="0" w:color="auto"/>
            <w:left w:val="none" w:sz="0" w:space="0" w:color="auto"/>
            <w:bottom w:val="none" w:sz="0" w:space="0" w:color="auto"/>
            <w:right w:val="none" w:sz="0" w:space="0" w:color="auto"/>
          </w:divBdr>
        </w:div>
        <w:div w:id="209415076">
          <w:marLeft w:val="0"/>
          <w:marRight w:val="0"/>
          <w:marTop w:val="0"/>
          <w:marBottom w:val="0"/>
          <w:divBdr>
            <w:top w:val="none" w:sz="0" w:space="0" w:color="auto"/>
            <w:left w:val="none" w:sz="0" w:space="0" w:color="auto"/>
            <w:bottom w:val="none" w:sz="0" w:space="0" w:color="auto"/>
            <w:right w:val="none" w:sz="0" w:space="0" w:color="auto"/>
          </w:divBdr>
        </w:div>
        <w:div w:id="216358064">
          <w:marLeft w:val="0"/>
          <w:marRight w:val="0"/>
          <w:marTop w:val="0"/>
          <w:marBottom w:val="0"/>
          <w:divBdr>
            <w:top w:val="none" w:sz="0" w:space="0" w:color="auto"/>
            <w:left w:val="none" w:sz="0" w:space="0" w:color="auto"/>
            <w:bottom w:val="none" w:sz="0" w:space="0" w:color="auto"/>
            <w:right w:val="none" w:sz="0" w:space="0" w:color="auto"/>
          </w:divBdr>
        </w:div>
        <w:div w:id="217521982">
          <w:marLeft w:val="0"/>
          <w:marRight w:val="0"/>
          <w:marTop w:val="0"/>
          <w:marBottom w:val="0"/>
          <w:divBdr>
            <w:top w:val="none" w:sz="0" w:space="0" w:color="auto"/>
            <w:left w:val="none" w:sz="0" w:space="0" w:color="auto"/>
            <w:bottom w:val="none" w:sz="0" w:space="0" w:color="auto"/>
            <w:right w:val="none" w:sz="0" w:space="0" w:color="auto"/>
          </w:divBdr>
        </w:div>
        <w:div w:id="228074524">
          <w:marLeft w:val="0"/>
          <w:marRight w:val="0"/>
          <w:marTop w:val="0"/>
          <w:marBottom w:val="0"/>
          <w:divBdr>
            <w:top w:val="none" w:sz="0" w:space="0" w:color="auto"/>
            <w:left w:val="none" w:sz="0" w:space="0" w:color="auto"/>
            <w:bottom w:val="none" w:sz="0" w:space="0" w:color="auto"/>
            <w:right w:val="none" w:sz="0" w:space="0" w:color="auto"/>
          </w:divBdr>
        </w:div>
        <w:div w:id="228544893">
          <w:marLeft w:val="0"/>
          <w:marRight w:val="0"/>
          <w:marTop w:val="0"/>
          <w:marBottom w:val="0"/>
          <w:divBdr>
            <w:top w:val="none" w:sz="0" w:space="0" w:color="auto"/>
            <w:left w:val="none" w:sz="0" w:space="0" w:color="auto"/>
            <w:bottom w:val="none" w:sz="0" w:space="0" w:color="auto"/>
            <w:right w:val="none" w:sz="0" w:space="0" w:color="auto"/>
          </w:divBdr>
        </w:div>
        <w:div w:id="235241431">
          <w:marLeft w:val="0"/>
          <w:marRight w:val="0"/>
          <w:marTop w:val="0"/>
          <w:marBottom w:val="0"/>
          <w:divBdr>
            <w:top w:val="none" w:sz="0" w:space="0" w:color="auto"/>
            <w:left w:val="none" w:sz="0" w:space="0" w:color="auto"/>
            <w:bottom w:val="none" w:sz="0" w:space="0" w:color="auto"/>
            <w:right w:val="none" w:sz="0" w:space="0" w:color="auto"/>
          </w:divBdr>
        </w:div>
        <w:div w:id="249579727">
          <w:marLeft w:val="0"/>
          <w:marRight w:val="0"/>
          <w:marTop w:val="0"/>
          <w:marBottom w:val="0"/>
          <w:divBdr>
            <w:top w:val="none" w:sz="0" w:space="0" w:color="auto"/>
            <w:left w:val="none" w:sz="0" w:space="0" w:color="auto"/>
            <w:bottom w:val="none" w:sz="0" w:space="0" w:color="auto"/>
            <w:right w:val="none" w:sz="0" w:space="0" w:color="auto"/>
          </w:divBdr>
        </w:div>
        <w:div w:id="272830145">
          <w:marLeft w:val="0"/>
          <w:marRight w:val="0"/>
          <w:marTop w:val="0"/>
          <w:marBottom w:val="0"/>
          <w:divBdr>
            <w:top w:val="none" w:sz="0" w:space="0" w:color="auto"/>
            <w:left w:val="none" w:sz="0" w:space="0" w:color="auto"/>
            <w:bottom w:val="none" w:sz="0" w:space="0" w:color="auto"/>
            <w:right w:val="none" w:sz="0" w:space="0" w:color="auto"/>
          </w:divBdr>
          <w:divsChild>
            <w:div w:id="705523513">
              <w:marLeft w:val="0"/>
              <w:marRight w:val="0"/>
              <w:marTop w:val="0"/>
              <w:marBottom w:val="0"/>
              <w:divBdr>
                <w:top w:val="none" w:sz="0" w:space="0" w:color="auto"/>
                <w:left w:val="none" w:sz="0" w:space="0" w:color="auto"/>
                <w:bottom w:val="none" w:sz="0" w:space="0" w:color="auto"/>
                <w:right w:val="none" w:sz="0" w:space="0" w:color="auto"/>
              </w:divBdr>
            </w:div>
            <w:div w:id="785075622">
              <w:marLeft w:val="0"/>
              <w:marRight w:val="0"/>
              <w:marTop w:val="0"/>
              <w:marBottom w:val="0"/>
              <w:divBdr>
                <w:top w:val="none" w:sz="0" w:space="0" w:color="auto"/>
                <w:left w:val="none" w:sz="0" w:space="0" w:color="auto"/>
                <w:bottom w:val="none" w:sz="0" w:space="0" w:color="auto"/>
                <w:right w:val="none" w:sz="0" w:space="0" w:color="auto"/>
              </w:divBdr>
            </w:div>
            <w:div w:id="1589270856">
              <w:marLeft w:val="0"/>
              <w:marRight w:val="0"/>
              <w:marTop w:val="0"/>
              <w:marBottom w:val="0"/>
              <w:divBdr>
                <w:top w:val="none" w:sz="0" w:space="0" w:color="auto"/>
                <w:left w:val="none" w:sz="0" w:space="0" w:color="auto"/>
                <w:bottom w:val="none" w:sz="0" w:space="0" w:color="auto"/>
                <w:right w:val="none" w:sz="0" w:space="0" w:color="auto"/>
              </w:divBdr>
            </w:div>
            <w:div w:id="2076464126">
              <w:marLeft w:val="0"/>
              <w:marRight w:val="0"/>
              <w:marTop w:val="0"/>
              <w:marBottom w:val="0"/>
              <w:divBdr>
                <w:top w:val="none" w:sz="0" w:space="0" w:color="auto"/>
                <w:left w:val="none" w:sz="0" w:space="0" w:color="auto"/>
                <w:bottom w:val="none" w:sz="0" w:space="0" w:color="auto"/>
                <w:right w:val="none" w:sz="0" w:space="0" w:color="auto"/>
              </w:divBdr>
            </w:div>
            <w:div w:id="2089115461">
              <w:marLeft w:val="0"/>
              <w:marRight w:val="0"/>
              <w:marTop w:val="0"/>
              <w:marBottom w:val="0"/>
              <w:divBdr>
                <w:top w:val="none" w:sz="0" w:space="0" w:color="auto"/>
                <w:left w:val="none" w:sz="0" w:space="0" w:color="auto"/>
                <w:bottom w:val="none" w:sz="0" w:space="0" w:color="auto"/>
                <w:right w:val="none" w:sz="0" w:space="0" w:color="auto"/>
              </w:divBdr>
            </w:div>
          </w:divsChild>
        </w:div>
        <w:div w:id="285626284">
          <w:marLeft w:val="0"/>
          <w:marRight w:val="0"/>
          <w:marTop w:val="0"/>
          <w:marBottom w:val="0"/>
          <w:divBdr>
            <w:top w:val="none" w:sz="0" w:space="0" w:color="auto"/>
            <w:left w:val="none" w:sz="0" w:space="0" w:color="auto"/>
            <w:bottom w:val="none" w:sz="0" w:space="0" w:color="auto"/>
            <w:right w:val="none" w:sz="0" w:space="0" w:color="auto"/>
          </w:divBdr>
          <w:divsChild>
            <w:div w:id="278921427">
              <w:marLeft w:val="0"/>
              <w:marRight w:val="0"/>
              <w:marTop w:val="0"/>
              <w:marBottom w:val="0"/>
              <w:divBdr>
                <w:top w:val="none" w:sz="0" w:space="0" w:color="auto"/>
                <w:left w:val="none" w:sz="0" w:space="0" w:color="auto"/>
                <w:bottom w:val="none" w:sz="0" w:space="0" w:color="auto"/>
                <w:right w:val="none" w:sz="0" w:space="0" w:color="auto"/>
              </w:divBdr>
            </w:div>
            <w:div w:id="299307206">
              <w:marLeft w:val="0"/>
              <w:marRight w:val="0"/>
              <w:marTop w:val="0"/>
              <w:marBottom w:val="0"/>
              <w:divBdr>
                <w:top w:val="none" w:sz="0" w:space="0" w:color="auto"/>
                <w:left w:val="none" w:sz="0" w:space="0" w:color="auto"/>
                <w:bottom w:val="none" w:sz="0" w:space="0" w:color="auto"/>
                <w:right w:val="none" w:sz="0" w:space="0" w:color="auto"/>
              </w:divBdr>
            </w:div>
            <w:div w:id="549147730">
              <w:marLeft w:val="0"/>
              <w:marRight w:val="0"/>
              <w:marTop w:val="0"/>
              <w:marBottom w:val="0"/>
              <w:divBdr>
                <w:top w:val="none" w:sz="0" w:space="0" w:color="auto"/>
                <w:left w:val="none" w:sz="0" w:space="0" w:color="auto"/>
                <w:bottom w:val="none" w:sz="0" w:space="0" w:color="auto"/>
                <w:right w:val="none" w:sz="0" w:space="0" w:color="auto"/>
              </w:divBdr>
            </w:div>
            <w:div w:id="868680719">
              <w:marLeft w:val="0"/>
              <w:marRight w:val="0"/>
              <w:marTop w:val="0"/>
              <w:marBottom w:val="0"/>
              <w:divBdr>
                <w:top w:val="none" w:sz="0" w:space="0" w:color="auto"/>
                <w:left w:val="none" w:sz="0" w:space="0" w:color="auto"/>
                <w:bottom w:val="none" w:sz="0" w:space="0" w:color="auto"/>
                <w:right w:val="none" w:sz="0" w:space="0" w:color="auto"/>
              </w:divBdr>
            </w:div>
            <w:div w:id="1899902957">
              <w:marLeft w:val="0"/>
              <w:marRight w:val="0"/>
              <w:marTop w:val="0"/>
              <w:marBottom w:val="0"/>
              <w:divBdr>
                <w:top w:val="none" w:sz="0" w:space="0" w:color="auto"/>
                <w:left w:val="none" w:sz="0" w:space="0" w:color="auto"/>
                <w:bottom w:val="none" w:sz="0" w:space="0" w:color="auto"/>
                <w:right w:val="none" w:sz="0" w:space="0" w:color="auto"/>
              </w:divBdr>
            </w:div>
          </w:divsChild>
        </w:div>
        <w:div w:id="291833657">
          <w:marLeft w:val="0"/>
          <w:marRight w:val="0"/>
          <w:marTop w:val="0"/>
          <w:marBottom w:val="0"/>
          <w:divBdr>
            <w:top w:val="none" w:sz="0" w:space="0" w:color="auto"/>
            <w:left w:val="none" w:sz="0" w:space="0" w:color="auto"/>
            <w:bottom w:val="none" w:sz="0" w:space="0" w:color="auto"/>
            <w:right w:val="none" w:sz="0" w:space="0" w:color="auto"/>
          </w:divBdr>
        </w:div>
        <w:div w:id="307176638">
          <w:marLeft w:val="0"/>
          <w:marRight w:val="0"/>
          <w:marTop w:val="0"/>
          <w:marBottom w:val="0"/>
          <w:divBdr>
            <w:top w:val="none" w:sz="0" w:space="0" w:color="auto"/>
            <w:left w:val="none" w:sz="0" w:space="0" w:color="auto"/>
            <w:bottom w:val="none" w:sz="0" w:space="0" w:color="auto"/>
            <w:right w:val="none" w:sz="0" w:space="0" w:color="auto"/>
          </w:divBdr>
          <w:divsChild>
            <w:div w:id="127549400">
              <w:marLeft w:val="0"/>
              <w:marRight w:val="0"/>
              <w:marTop w:val="0"/>
              <w:marBottom w:val="0"/>
              <w:divBdr>
                <w:top w:val="none" w:sz="0" w:space="0" w:color="auto"/>
                <w:left w:val="none" w:sz="0" w:space="0" w:color="auto"/>
                <w:bottom w:val="none" w:sz="0" w:space="0" w:color="auto"/>
                <w:right w:val="none" w:sz="0" w:space="0" w:color="auto"/>
              </w:divBdr>
            </w:div>
            <w:div w:id="1032342523">
              <w:marLeft w:val="0"/>
              <w:marRight w:val="0"/>
              <w:marTop w:val="0"/>
              <w:marBottom w:val="0"/>
              <w:divBdr>
                <w:top w:val="none" w:sz="0" w:space="0" w:color="auto"/>
                <w:left w:val="none" w:sz="0" w:space="0" w:color="auto"/>
                <w:bottom w:val="none" w:sz="0" w:space="0" w:color="auto"/>
                <w:right w:val="none" w:sz="0" w:space="0" w:color="auto"/>
              </w:divBdr>
            </w:div>
            <w:div w:id="1042825509">
              <w:marLeft w:val="0"/>
              <w:marRight w:val="0"/>
              <w:marTop w:val="0"/>
              <w:marBottom w:val="0"/>
              <w:divBdr>
                <w:top w:val="none" w:sz="0" w:space="0" w:color="auto"/>
                <w:left w:val="none" w:sz="0" w:space="0" w:color="auto"/>
                <w:bottom w:val="none" w:sz="0" w:space="0" w:color="auto"/>
                <w:right w:val="none" w:sz="0" w:space="0" w:color="auto"/>
              </w:divBdr>
            </w:div>
            <w:div w:id="1134911675">
              <w:marLeft w:val="0"/>
              <w:marRight w:val="0"/>
              <w:marTop w:val="0"/>
              <w:marBottom w:val="0"/>
              <w:divBdr>
                <w:top w:val="none" w:sz="0" w:space="0" w:color="auto"/>
                <w:left w:val="none" w:sz="0" w:space="0" w:color="auto"/>
                <w:bottom w:val="none" w:sz="0" w:space="0" w:color="auto"/>
                <w:right w:val="none" w:sz="0" w:space="0" w:color="auto"/>
              </w:divBdr>
            </w:div>
            <w:div w:id="1838567757">
              <w:marLeft w:val="0"/>
              <w:marRight w:val="0"/>
              <w:marTop w:val="0"/>
              <w:marBottom w:val="0"/>
              <w:divBdr>
                <w:top w:val="none" w:sz="0" w:space="0" w:color="auto"/>
                <w:left w:val="none" w:sz="0" w:space="0" w:color="auto"/>
                <w:bottom w:val="none" w:sz="0" w:space="0" w:color="auto"/>
                <w:right w:val="none" w:sz="0" w:space="0" w:color="auto"/>
              </w:divBdr>
            </w:div>
          </w:divsChild>
        </w:div>
        <w:div w:id="307441545">
          <w:marLeft w:val="0"/>
          <w:marRight w:val="0"/>
          <w:marTop w:val="0"/>
          <w:marBottom w:val="0"/>
          <w:divBdr>
            <w:top w:val="none" w:sz="0" w:space="0" w:color="auto"/>
            <w:left w:val="none" w:sz="0" w:space="0" w:color="auto"/>
            <w:bottom w:val="none" w:sz="0" w:space="0" w:color="auto"/>
            <w:right w:val="none" w:sz="0" w:space="0" w:color="auto"/>
          </w:divBdr>
        </w:div>
        <w:div w:id="309212081">
          <w:marLeft w:val="0"/>
          <w:marRight w:val="0"/>
          <w:marTop w:val="0"/>
          <w:marBottom w:val="0"/>
          <w:divBdr>
            <w:top w:val="none" w:sz="0" w:space="0" w:color="auto"/>
            <w:left w:val="none" w:sz="0" w:space="0" w:color="auto"/>
            <w:bottom w:val="none" w:sz="0" w:space="0" w:color="auto"/>
            <w:right w:val="none" w:sz="0" w:space="0" w:color="auto"/>
          </w:divBdr>
          <w:divsChild>
            <w:div w:id="564611115">
              <w:marLeft w:val="0"/>
              <w:marRight w:val="0"/>
              <w:marTop w:val="0"/>
              <w:marBottom w:val="0"/>
              <w:divBdr>
                <w:top w:val="none" w:sz="0" w:space="0" w:color="auto"/>
                <w:left w:val="none" w:sz="0" w:space="0" w:color="auto"/>
                <w:bottom w:val="none" w:sz="0" w:space="0" w:color="auto"/>
                <w:right w:val="none" w:sz="0" w:space="0" w:color="auto"/>
              </w:divBdr>
            </w:div>
            <w:div w:id="709959970">
              <w:marLeft w:val="0"/>
              <w:marRight w:val="0"/>
              <w:marTop w:val="0"/>
              <w:marBottom w:val="0"/>
              <w:divBdr>
                <w:top w:val="none" w:sz="0" w:space="0" w:color="auto"/>
                <w:left w:val="none" w:sz="0" w:space="0" w:color="auto"/>
                <w:bottom w:val="none" w:sz="0" w:space="0" w:color="auto"/>
                <w:right w:val="none" w:sz="0" w:space="0" w:color="auto"/>
              </w:divBdr>
            </w:div>
            <w:div w:id="850266528">
              <w:marLeft w:val="0"/>
              <w:marRight w:val="0"/>
              <w:marTop w:val="0"/>
              <w:marBottom w:val="0"/>
              <w:divBdr>
                <w:top w:val="none" w:sz="0" w:space="0" w:color="auto"/>
                <w:left w:val="none" w:sz="0" w:space="0" w:color="auto"/>
                <w:bottom w:val="none" w:sz="0" w:space="0" w:color="auto"/>
                <w:right w:val="none" w:sz="0" w:space="0" w:color="auto"/>
              </w:divBdr>
            </w:div>
            <w:div w:id="1112943506">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sChild>
        </w:div>
        <w:div w:id="323902055">
          <w:marLeft w:val="0"/>
          <w:marRight w:val="0"/>
          <w:marTop w:val="0"/>
          <w:marBottom w:val="0"/>
          <w:divBdr>
            <w:top w:val="none" w:sz="0" w:space="0" w:color="auto"/>
            <w:left w:val="none" w:sz="0" w:space="0" w:color="auto"/>
            <w:bottom w:val="none" w:sz="0" w:space="0" w:color="auto"/>
            <w:right w:val="none" w:sz="0" w:space="0" w:color="auto"/>
          </w:divBdr>
        </w:div>
        <w:div w:id="350033908">
          <w:marLeft w:val="0"/>
          <w:marRight w:val="0"/>
          <w:marTop w:val="0"/>
          <w:marBottom w:val="0"/>
          <w:divBdr>
            <w:top w:val="none" w:sz="0" w:space="0" w:color="auto"/>
            <w:left w:val="none" w:sz="0" w:space="0" w:color="auto"/>
            <w:bottom w:val="none" w:sz="0" w:space="0" w:color="auto"/>
            <w:right w:val="none" w:sz="0" w:space="0" w:color="auto"/>
          </w:divBdr>
        </w:div>
        <w:div w:id="357049825">
          <w:marLeft w:val="0"/>
          <w:marRight w:val="0"/>
          <w:marTop w:val="0"/>
          <w:marBottom w:val="0"/>
          <w:divBdr>
            <w:top w:val="none" w:sz="0" w:space="0" w:color="auto"/>
            <w:left w:val="none" w:sz="0" w:space="0" w:color="auto"/>
            <w:bottom w:val="none" w:sz="0" w:space="0" w:color="auto"/>
            <w:right w:val="none" w:sz="0" w:space="0" w:color="auto"/>
          </w:divBdr>
        </w:div>
        <w:div w:id="364141497">
          <w:marLeft w:val="0"/>
          <w:marRight w:val="0"/>
          <w:marTop w:val="0"/>
          <w:marBottom w:val="0"/>
          <w:divBdr>
            <w:top w:val="none" w:sz="0" w:space="0" w:color="auto"/>
            <w:left w:val="none" w:sz="0" w:space="0" w:color="auto"/>
            <w:bottom w:val="none" w:sz="0" w:space="0" w:color="auto"/>
            <w:right w:val="none" w:sz="0" w:space="0" w:color="auto"/>
          </w:divBdr>
        </w:div>
        <w:div w:id="365713750">
          <w:marLeft w:val="0"/>
          <w:marRight w:val="0"/>
          <w:marTop w:val="0"/>
          <w:marBottom w:val="0"/>
          <w:divBdr>
            <w:top w:val="none" w:sz="0" w:space="0" w:color="auto"/>
            <w:left w:val="none" w:sz="0" w:space="0" w:color="auto"/>
            <w:bottom w:val="none" w:sz="0" w:space="0" w:color="auto"/>
            <w:right w:val="none" w:sz="0" w:space="0" w:color="auto"/>
          </w:divBdr>
          <w:divsChild>
            <w:div w:id="160778811">
              <w:marLeft w:val="0"/>
              <w:marRight w:val="0"/>
              <w:marTop w:val="0"/>
              <w:marBottom w:val="0"/>
              <w:divBdr>
                <w:top w:val="none" w:sz="0" w:space="0" w:color="auto"/>
                <w:left w:val="none" w:sz="0" w:space="0" w:color="auto"/>
                <w:bottom w:val="none" w:sz="0" w:space="0" w:color="auto"/>
                <w:right w:val="none" w:sz="0" w:space="0" w:color="auto"/>
              </w:divBdr>
            </w:div>
            <w:div w:id="1016661319">
              <w:marLeft w:val="0"/>
              <w:marRight w:val="0"/>
              <w:marTop w:val="0"/>
              <w:marBottom w:val="0"/>
              <w:divBdr>
                <w:top w:val="none" w:sz="0" w:space="0" w:color="auto"/>
                <w:left w:val="none" w:sz="0" w:space="0" w:color="auto"/>
                <w:bottom w:val="none" w:sz="0" w:space="0" w:color="auto"/>
                <w:right w:val="none" w:sz="0" w:space="0" w:color="auto"/>
              </w:divBdr>
            </w:div>
            <w:div w:id="1675456871">
              <w:marLeft w:val="0"/>
              <w:marRight w:val="0"/>
              <w:marTop w:val="0"/>
              <w:marBottom w:val="0"/>
              <w:divBdr>
                <w:top w:val="none" w:sz="0" w:space="0" w:color="auto"/>
                <w:left w:val="none" w:sz="0" w:space="0" w:color="auto"/>
                <w:bottom w:val="none" w:sz="0" w:space="0" w:color="auto"/>
                <w:right w:val="none" w:sz="0" w:space="0" w:color="auto"/>
              </w:divBdr>
            </w:div>
            <w:div w:id="1749577603">
              <w:marLeft w:val="0"/>
              <w:marRight w:val="0"/>
              <w:marTop w:val="0"/>
              <w:marBottom w:val="0"/>
              <w:divBdr>
                <w:top w:val="none" w:sz="0" w:space="0" w:color="auto"/>
                <w:left w:val="none" w:sz="0" w:space="0" w:color="auto"/>
                <w:bottom w:val="none" w:sz="0" w:space="0" w:color="auto"/>
                <w:right w:val="none" w:sz="0" w:space="0" w:color="auto"/>
              </w:divBdr>
            </w:div>
            <w:div w:id="1924148653">
              <w:marLeft w:val="0"/>
              <w:marRight w:val="0"/>
              <w:marTop w:val="0"/>
              <w:marBottom w:val="0"/>
              <w:divBdr>
                <w:top w:val="none" w:sz="0" w:space="0" w:color="auto"/>
                <w:left w:val="none" w:sz="0" w:space="0" w:color="auto"/>
                <w:bottom w:val="none" w:sz="0" w:space="0" w:color="auto"/>
                <w:right w:val="none" w:sz="0" w:space="0" w:color="auto"/>
              </w:divBdr>
            </w:div>
          </w:divsChild>
        </w:div>
        <w:div w:id="370615179">
          <w:marLeft w:val="0"/>
          <w:marRight w:val="0"/>
          <w:marTop w:val="0"/>
          <w:marBottom w:val="0"/>
          <w:divBdr>
            <w:top w:val="none" w:sz="0" w:space="0" w:color="auto"/>
            <w:left w:val="none" w:sz="0" w:space="0" w:color="auto"/>
            <w:bottom w:val="none" w:sz="0" w:space="0" w:color="auto"/>
            <w:right w:val="none" w:sz="0" w:space="0" w:color="auto"/>
          </w:divBdr>
        </w:div>
        <w:div w:id="376976907">
          <w:marLeft w:val="0"/>
          <w:marRight w:val="0"/>
          <w:marTop w:val="0"/>
          <w:marBottom w:val="0"/>
          <w:divBdr>
            <w:top w:val="none" w:sz="0" w:space="0" w:color="auto"/>
            <w:left w:val="none" w:sz="0" w:space="0" w:color="auto"/>
            <w:bottom w:val="none" w:sz="0" w:space="0" w:color="auto"/>
            <w:right w:val="none" w:sz="0" w:space="0" w:color="auto"/>
          </w:divBdr>
        </w:div>
        <w:div w:id="377901090">
          <w:marLeft w:val="0"/>
          <w:marRight w:val="0"/>
          <w:marTop w:val="0"/>
          <w:marBottom w:val="0"/>
          <w:divBdr>
            <w:top w:val="none" w:sz="0" w:space="0" w:color="auto"/>
            <w:left w:val="none" w:sz="0" w:space="0" w:color="auto"/>
            <w:bottom w:val="none" w:sz="0" w:space="0" w:color="auto"/>
            <w:right w:val="none" w:sz="0" w:space="0" w:color="auto"/>
          </w:divBdr>
        </w:div>
        <w:div w:id="383069660">
          <w:marLeft w:val="0"/>
          <w:marRight w:val="0"/>
          <w:marTop w:val="0"/>
          <w:marBottom w:val="0"/>
          <w:divBdr>
            <w:top w:val="none" w:sz="0" w:space="0" w:color="auto"/>
            <w:left w:val="none" w:sz="0" w:space="0" w:color="auto"/>
            <w:bottom w:val="none" w:sz="0" w:space="0" w:color="auto"/>
            <w:right w:val="none" w:sz="0" w:space="0" w:color="auto"/>
          </w:divBdr>
          <w:divsChild>
            <w:div w:id="287392712">
              <w:marLeft w:val="0"/>
              <w:marRight w:val="0"/>
              <w:marTop w:val="0"/>
              <w:marBottom w:val="0"/>
              <w:divBdr>
                <w:top w:val="none" w:sz="0" w:space="0" w:color="auto"/>
                <w:left w:val="none" w:sz="0" w:space="0" w:color="auto"/>
                <w:bottom w:val="none" w:sz="0" w:space="0" w:color="auto"/>
                <w:right w:val="none" w:sz="0" w:space="0" w:color="auto"/>
              </w:divBdr>
            </w:div>
            <w:div w:id="627316091">
              <w:marLeft w:val="0"/>
              <w:marRight w:val="0"/>
              <w:marTop w:val="0"/>
              <w:marBottom w:val="0"/>
              <w:divBdr>
                <w:top w:val="none" w:sz="0" w:space="0" w:color="auto"/>
                <w:left w:val="none" w:sz="0" w:space="0" w:color="auto"/>
                <w:bottom w:val="none" w:sz="0" w:space="0" w:color="auto"/>
                <w:right w:val="none" w:sz="0" w:space="0" w:color="auto"/>
              </w:divBdr>
            </w:div>
            <w:div w:id="761796707">
              <w:marLeft w:val="0"/>
              <w:marRight w:val="0"/>
              <w:marTop w:val="0"/>
              <w:marBottom w:val="0"/>
              <w:divBdr>
                <w:top w:val="none" w:sz="0" w:space="0" w:color="auto"/>
                <w:left w:val="none" w:sz="0" w:space="0" w:color="auto"/>
                <w:bottom w:val="none" w:sz="0" w:space="0" w:color="auto"/>
                <w:right w:val="none" w:sz="0" w:space="0" w:color="auto"/>
              </w:divBdr>
            </w:div>
            <w:div w:id="846672946">
              <w:marLeft w:val="0"/>
              <w:marRight w:val="0"/>
              <w:marTop w:val="0"/>
              <w:marBottom w:val="0"/>
              <w:divBdr>
                <w:top w:val="none" w:sz="0" w:space="0" w:color="auto"/>
                <w:left w:val="none" w:sz="0" w:space="0" w:color="auto"/>
                <w:bottom w:val="none" w:sz="0" w:space="0" w:color="auto"/>
                <w:right w:val="none" w:sz="0" w:space="0" w:color="auto"/>
              </w:divBdr>
            </w:div>
            <w:div w:id="2038506939">
              <w:marLeft w:val="0"/>
              <w:marRight w:val="0"/>
              <w:marTop w:val="0"/>
              <w:marBottom w:val="0"/>
              <w:divBdr>
                <w:top w:val="none" w:sz="0" w:space="0" w:color="auto"/>
                <w:left w:val="none" w:sz="0" w:space="0" w:color="auto"/>
                <w:bottom w:val="none" w:sz="0" w:space="0" w:color="auto"/>
                <w:right w:val="none" w:sz="0" w:space="0" w:color="auto"/>
              </w:divBdr>
            </w:div>
          </w:divsChild>
        </w:div>
        <w:div w:id="390885006">
          <w:marLeft w:val="0"/>
          <w:marRight w:val="0"/>
          <w:marTop w:val="0"/>
          <w:marBottom w:val="0"/>
          <w:divBdr>
            <w:top w:val="none" w:sz="0" w:space="0" w:color="auto"/>
            <w:left w:val="none" w:sz="0" w:space="0" w:color="auto"/>
            <w:bottom w:val="none" w:sz="0" w:space="0" w:color="auto"/>
            <w:right w:val="none" w:sz="0" w:space="0" w:color="auto"/>
          </w:divBdr>
        </w:div>
        <w:div w:id="397559966">
          <w:marLeft w:val="0"/>
          <w:marRight w:val="0"/>
          <w:marTop w:val="0"/>
          <w:marBottom w:val="0"/>
          <w:divBdr>
            <w:top w:val="none" w:sz="0" w:space="0" w:color="auto"/>
            <w:left w:val="none" w:sz="0" w:space="0" w:color="auto"/>
            <w:bottom w:val="none" w:sz="0" w:space="0" w:color="auto"/>
            <w:right w:val="none" w:sz="0" w:space="0" w:color="auto"/>
          </w:divBdr>
        </w:div>
        <w:div w:id="400560202">
          <w:marLeft w:val="0"/>
          <w:marRight w:val="0"/>
          <w:marTop w:val="0"/>
          <w:marBottom w:val="0"/>
          <w:divBdr>
            <w:top w:val="none" w:sz="0" w:space="0" w:color="auto"/>
            <w:left w:val="none" w:sz="0" w:space="0" w:color="auto"/>
            <w:bottom w:val="none" w:sz="0" w:space="0" w:color="auto"/>
            <w:right w:val="none" w:sz="0" w:space="0" w:color="auto"/>
          </w:divBdr>
        </w:div>
        <w:div w:id="403335163">
          <w:marLeft w:val="0"/>
          <w:marRight w:val="0"/>
          <w:marTop w:val="0"/>
          <w:marBottom w:val="0"/>
          <w:divBdr>
            <w:top w:val="none" w:sz="0" w:space="0" w:color="auto"/>
            <w:left w:val="none" w:sz="0" w:space="0" w:color="auto"/>
            <w:bottom w:val="none" w:sz="0" w:space="0" w:color="auto"/>
            <w:right w:val="none" w:sz="0" w:space="0" w:color="auto"/>
          </w:divBdr>
        </w:div>
        <w:div w:id="408384971">
          <w:marLeft w:val="0"/>
          <w:marRight w:val="0"/>
          <w:marTop w:val="0"/>
          <w:marBottom w:val="0"/>
          <w:divBdr>
            <w:top w:val="none" w:sz="0" w:space="0" w:color="auto"/>
            <w:left w:val="none" w:sz="0" w:space="0" w:color="auto"/>
            <w:bottom w:val="none" w:sz="0" w:space="0" w:color="auto"/>
            <w:right w:val="none" w:sz="0" w:space="0" w:color="auto"/>
          </w:divBdr>
        </w:div>
        <w:div w:id="417287592">
          <w:marLeft w:val="0"/>
          <w:marRight w:val="0"/>
          <w:marTop w:val="0"/>
          <w:marBottom w:val="0"/>
          <w:divBdr>
            <w:top w:val="none" w:sz="0" w:space="0" w:color="auto"/>
            <w:left w:val="none" w:sz="0" w:space="0" w:color="auto"/>
            <w:bottom w:val="none" w:sz="0" w:space="0" w:color="auto"/>
            <w:right w:val="none" w:sz="0" w:space="0" w:color="auto"/>
          </w:divBdr>
        </w:div>
        <w:div w:id="419912977">
          <w:marLeft w:val="0"/>
          <w:marRight w:val="0"/>
          <w:marTop w:val="0"/>
          <w:marBottom w:val="0"/>
          <w:divBdr>
            <w:top w:val="none" w:sz="0" w:space="0" w:color="auto"/>
            <w:left w:val="none" w:sz="0" w:space="0" w:color="auto"/>
            <w:bottom w:val="none" w:sz="0" w:space="0" w:color="auto"/>
            <w:right w:val="none" w:sz="0" w:space="0" w:color="auto"/>
          </w:divBdr>
        </w:div>
        <w:div w:id="425422894">
          <w:marLeft w:val="0"/>
          <w:marRight w:val="0"/>
          <w:marTop w:val="0"/>
          <w:marBottom w:val="0"/>
          <w:divBdr>
            <w:top w:val="none" w:sz="0" w:space="0" w:color="auto"/>
            <w:left w:val="none" w:sz="0" w:space="0" w:color="auto"/>
            <w:bottom w:val="none" w:sz="0" w:space="0" w:color="auto"/>
            <w:right w:val="none" w:sz="0" w:space="0" w:color="auto"/>
          </w:divBdr>
        </w:div>
        <w:div w:id="444425968">
          <w:marLeft w:val="0"/>
          <w:marRight w:val="0"/>
          <w:marTop w:val="0"/>
          <w:marBottom w:val="0"/>
          <w:divBdr>
            <w:top w:val="none" w:sz="0" w:space="0" w:color="auto"/>
            <w:left w:val="none" w:sz="0" w:space="0" w:color="auto"/>
            <w:bottom w:val="none" w:sz="0" w:space="0" w:color="auto"/>
            <w:right w:val="none" w:sz="0" w:space="0" w:color="auto"/>
          </w:divBdr>
        </w:div>
        <w:div w:id="445121947">
          <w:marLeft w:val="0"/>
          <w:marRight w:val="0"/>
          <w:marTop w:val="0"/>
          <w:marBottom w:val="0"/>
          <w:divBdr>
            <w:top w:val="none" w:sz="0" w:space="0" w:color="auto"/>
            <w:left w:val="none" w:sz="0" w:space="0" w:color="auto"/>
            <w:bottom w:val="none" w:sz="0" w:space="0" w:color="auto"/>
            <w:right w:val="none" w:sz="0" w:space="0" w:color="auto"/>
          </w:divBdr>
        </w:div>
        <w:div w:id="445656104">
          <w:marLeft w:val="0"/>
          <w:marRight w:val="0"/>
          <w:marTop w:val="0"/>
          <w:marBottom w:val="0"/>
          <w:divBdr>
            <w:top w:val="none" w:sz="0" w:space="0" w:color="auto"/>
            <w:left w:val="none" w:sz="0" w:space="0" w:color="auto"/>
            <w:bottom w:val="none" w:sz="0" w:space="0" w:color="auto"/>
            <w:right w:val="none" w:sz="0" w:space="0" w:color="auto"/>
          </w:divBdr>
        </w:div>
        <w:div w:id="449588766">
          <w:marLeft w:val="0"/>
          <w:marRight w:val="0"/>
          <w:marTop w:val="0"/>
          <w:marBottom w:val="0"/>
          <w:divBdr>
            <w:top w:val="none" w:sz="0" w:space="0" w:color="auto"/>
            <w:left w:val="none" w:sz="0" w:space="0" w:color="auto"/>
            <w:bottom w:val="none" w:sz="0" w:space="0" w:color="auto"/>
            <w:right w:val="none" w:sz="0" w:space="0" w:color="auto"/>
          </w:divBdr>
        </w:div>
        <w:div w:id="456988488">
          <w:marLeft w:val="0"/>
          <w:marRight w:val="0"/>
          <w:marTop w:val="0"/>
          <w:marBottom w:val="0"/>
          <w:divBdr>
            <w:top w:val="none" w:sz="0" w:space="0" w:color="auto"/>
            <w:left w:val="none" w:sz="0" w:space="0" w:color="auto"/>
            <w:bottom w:val="none" w:sz="0" w:space="0" w:color="auto"/>
            <w:right w:val="none" w:sz="0" w:space="0" w:color="auto"/>
          </w:divBdr>
        </w:div>
        <w:div w:id="503476251">
          <w:marLeft w:val="0"/>
          <w:marRight w:val="0"/>
          <w:marTop w:val="0"/>
          <w:marBottom w:val="0"/>
          <w:divBdr>
            <w:top w:val="none" w:sz="0" w:space="0" w:color="auto"/>
            <w:left w:val="none" w:sz="0" w:space="0" w:color="auto"/>
            <w:bottom w:val="none" w:sz="0" w:space="0" w:color="auto"/>
            <w:right w:val="none" w:sz="0" w:space="0" w:color="auto"/>
          </w:divBdr>
        </w:div>
        <w:div w:id="505748954">
          <w:marLeft w:val="0"/>
          <w:marRight w:val="0"/>
          <w:marTop w:val="0"/>
          <w:marBottom w:val="0"/>
          <w:divBdr>
            <w:top w:val="none" w:sz="0" w:space="0" w:color="auto"/>
            <w:left w:val="none" w:sz="0" w:space="0" w:color="auto"/>
            <w:bottom w:val="none" w:sz="0" w:space="0" w:color="auto"/>
            <w:right w:val="none" w:sz="0" w:space="0" w:color="auto"/>
          </w:divBdr>
        </w:div>
        <w:div w:id="518324371">
          <w:marLeft w:val="0"/>
          <w:marRight w:val="0"/>
          <w:marTop w:val="0"/>
          <w:marBottom w:val="0"/>
          <w:divBdr>
            <w:top w:val="none" w:sz="0" w:space="0" w:color="auto"/>
            <w:left w:val="none" w:sz="0" w:space="0" w:color="auto"/>
            <w:bottom w:val="none" w:sz="0" w:space="0" w:color="auto"/>
            <w:right w:val="none" w:sz="0" w:space="0" w:color="auto"/>
          </w:divBdr>
        </w:div>
        <w:div w:id="520361533">
          <w:marLeft w:val="0"/>
          <w:marRight w:val="0"/>
          <w:marTop w:val="0"/>
          <w:marBottom w:val="0"/>
          <w:divBdr>
            <w:top w:val="none" w:sz="0" w:space="0" w:color="auto"/>
            <w:left w:val="none" w:sz="0" w:space="0" w:color="auto"/>
            <w:bottom w:val="none" w:sz="0" w:space="0" w:color="auto"/>
            <w:right w:val="none" w:sz="0" w:space="0" w:color="auto"/>
          </w:divBdr>
        </w:div>
        <w:div w:id="524827517">
          <w:marLeft w:val="0"/>
          <w:marRight w:val="0"/>
          <w:marTop w:val="0"/>
          <w:marBottom w:val="0"/>
          <w:divBdr>
            <w:top w:val="none" w:sz="0" w:space="0" w:color="auto"/>
            <w:left w:val="none" w:sz="0" w:space="0" w:color="auto"/>
            <w:bottom w:val="none" w:sz="0" w:space="0" w:color="auto"/>
            <w:right w:val="none" w:sz="0" w:space="0" w:color="auto"/>
          </w:divBdr>
        </w:div>
        <w:div w:id="525873606">
          <w:marLeft w:val="0"/>
          <w:marRight w:val="0"/>
          <w:marTop w:val="0"/>
          <w:marBottom w:val="0"/>
          <w:divBdr>
            <w:top w:val="none" w:sz="0" w:space="0" w:color="auto"/>
            <w:left w:val="none" w:sz="0" w:space="0" w:color="auto"/>
            <w:bottom w:val="none" w:sz="0" w:space="0" w:color="auto"/>
            <w:right w:val="none" w:sz="0" w:space="0" w:color="auto"/>
          </w:divBdr>
          <w:divsChild>
            <w:div w:id="1166634688">
              <w:marLeft w:val="0"/>
              <w:marRight w:val="0"/>
              <w:marTop w:val="0"/>
              <w:marBottom w:val="0"/>
              <w:divBdr>
                <w:top w:val="none" w:sz="0" w:space="0" w:color="auto"/>
                <w:left w:val="none" w:sz="0" w:space="0" w:color="auto"/>
                <w:bottom w:val="none" w:sz="0" w:space="0" w:color="auto"/>
                <w:right w:val="none" w:sz="0" w:space="0" w:color="auto"/>
              </w:divBdr>
            </w:div>
            <w:div w:id="1427531742">
              <w:marLeft w:val="0"/>
              <w:marRight w:val="0"/>
              <w:marTop w:val="0"/>
              <w:marBottom w:val="0"/>
              <w:divBdr>
                <w:top w:val="none" w:sz="0" w:space="0" w:color="auto"/>
                <w:left w:val="none" w:sz="0" w:space="0" w:color="auto"/>
                <w:bottom w:val="none" w:sz="0" w:space="0" w:color="auto"/>
                <w:right w:val="none" w:sz="0" w:space="0" w:color="auto"/>
              </w:divBdr>
            </w:div>
            <w:div w:id="1602564600">
              <w:marLeft w:val="0"/>
              <w:marRight w:val="0"/>
              <w:marTop w:val="0"/>
              <w:marBottom w:val="0"/>
              <w:divBdr>
                <w:top w:val="none" w:sz="0" w:space="0" w:color="auto"/>
                <w:left w:val="none" w:sz="0" w:space="0" w:color="auto"/>
                <w:bottom w:val="none" w:sz="0" w:space="0" w:color="auto"/>
                <w:right w:val="none" w:sz="0" w:space="0" w:color="auto"/>
              </w:divBdr>
            </w:div>
            <w:div w:id="1672024218">
              <w:marLeft w:val="0"/>
              <w:marRight w:val="0"/>
              <w:marTop w:val="0"/>
              <w:marBottom w:val="0"/>
              <w:divBdr>
                <w:top w:val="none" w:sz="0" w:space="0" w:color="auto"/>
                <w:left w:val="none" w:sz="0" w:space="0" w:color="auto"/>
                <w:bottom w:val="none" w:sz="0" w:space="0" w:color="auto"/>
                <w:right w:val="none" w:sz="0" w:space="0" w:color="auto"/>
              </w:divBdr>
            </w:div>
            <w:div w:id="1687900126">
              <w:marLeft w:val="0"/>
              <w:marRight w:val="0"/>
              <w:marTop w:val="0"/>
              <w:marBottom w:val="0"/>
              <w:divBdr>
                <w:top w:val="none" w:sz="0" w:space="0" w:color="auto"/>
                <w:left w:val="none" w:sz="0" w:space="0" w:color="auto"/>
                <w:bottom w:val="none" w:sz="0" w:space="0" w:color="auto"/>
                <w:right w:val="none" w:sz="0" w:space="0" w:color="auto"/>
              </w:divBdr>
            </w:div>
          </w:divsChild>
        </w:div>
        <w:div w:id="548079074">
          <w:marLeft w:val="0"/>
          <w:marRight w:val="0"/>
          <w:marTop w:val="0"/>
          <w:marBottom w:val="0"/>
          <w:divBdr>
            <w:top w:val="none" w:sz="0" w:space="0" w:color="auto"/>
            <w:left w:val="none" w:sz="0" w:space="0" w:color="auto"/>
            <w:bottom w:val="none" w:sz="0" w:space="0" w:color="auto"/>
            <w:right w:val="none" w:sz="0" w:space="0" w:color="auto"/>
          </w:divBdr>
          <w:divsChild>
            <w:div w:id="809638225">
              <w:marLeft w:val="0"/>
              <w:marRight w:val="0"/>
              <w:marTop w:val="0"/>
              <w:marBottom w:val="0"/>
              <w:divBdr>
                <w:top w:val="none" w:sz="0" w:space="0" w:color="auto"/>
                <w:left w:val="none" w:sz="0" w:space="0" w:color="auto"/>
                <w:bottom w:val="none" w:sz="0" w:space="0" w:color="auto"/>
                <w:right w:val="none" w:sz="0" w:space="0" w:color="auto"/>
              </w:divBdr>
            </w:div>
            <w:div w:id="1148329222">
              <w:marLeft w:val="0"/>
              <w:marRight w:val="0"/>
              <w:marTop w:val="0"/>
              <w:marBottom w:val="0"/>
              <w:divBdr>
                <w:top w:val="none" w:sz="0" w:space="0" w:color="auto"/>
                <w:left w:val="none" w:sz="0" w:space="0" w:color="auto"/>
                <w:bottom w:val="none" w:sz="0" w:space="0" w:color="auto"/>
                <w:right w:val="none" w:sz="0" w:space="0" w:color="auto"/>
              </w:divBdr>
            </w:div>
            <w:div w:id="1281261401">
              <w:marLeft w:val="0"/>
              <w:marRight w:val="0"/>
              <w:marTop w:val="0"/>
              <w:marBottom w:val="0"/>
              <w:divBdr>
                <w:top w:val="none" w:sz="0" w:space="0" w:color="auto"/>
                <w:left w:val="none" w:sz="0" w:space="0" w:color="auto"/>
                <w:bottom w:val="none" w:sz="0" w:space="0" w:color="auto"/>
                <w:right w:val="none" w:sz="0" w:space="0" w:color="auto"/>
              </w:divBdr>
            </w:div>
            <w:div w:id="1389304352">
              <w:marLeft w:val="0"/>
              <w:marRight w:val="0"/>
              <w:marTop w:val="0"/>
              <w:marBottom w:val="0"/>
              <w:divBdr>
                <w:top w:val="none" w:sz="0" w:space="0" w:color="auto"/>
                <w:left w:val="none" w:sz="0" w:space="0" w:color="auto"/>
                <w:bottom w:val="none" w:sz="0" w:space="0" w:color="auto"/>
                <w:right w:val="none" w:sz="0" w:space="0" w:color="auto"/>
              </w:divBdr>
            </w:div>
            <w:div w:id="1915583814">
              <w:marLeft w:val="0"/>
              <w:marRight w:val="0"/>
              <w:marTop w:val="0"/>
              <w:marBottom w:val="0"/>
              <w:divBdr>
                <w:top w:val="none" w:sz="0" w:space="0" w:color="auto"/>
                <w:left w:val="none" w:sz="0" w:space="0" w:color="auto"/>
                <w:bottom w:val="none" w:sz="0" w:space="0" w:color="auto"/>
                <w:right w:val="none" w:sz="0" w:space="0" w:color="auto"/>
              </w:divBdr>
            </w:div>
          </w:divsChild>
        </w:div>
        <w:div w:id="557058886">
          <w:marLeft w:val="0"/>
          <w:marRight w:val="0"/>
          <w:marTop w:val="0"/>
          <w:marBottom w:val="0"/>
          <w:divBdr>
            <w:top w:val="none" w:sz="0" w:space="0" w:color="auto"/>
            <w:left w:val="none" w:sz="0" w:space="0" w:color="auto"/>
            <w:bottom w:val="none" w:sz="0" w:space="0" w:color="auto"/>
            <w:right w:val="none" w:sz="0" w:space="0" w:color="auto"/>
          </w:divBdr>
        </w:div>
        <w:div w:id="584730013">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14411330">
          <w:marLeft w:val="0"/>
          <w:marRight w:val="0"/>
          <w:marTop w:val="0"/>
          <w:marBottom w:val="0"/>
          <w:divBdr>
            <w:top w:val="none" w:sz="0" w:space="0" w:color="auto"/>
            <w:left w:val="none" w:sz="0" w:space="0" w:color="auto"/>
            <w:bottom w:val="none" w:sz="0" w:space="0" w:color="auto"/>
            <w:right w:val="none" w:sz="0" w:space="0" w:color="auto"/>
          </w:divBdr>
        </w:div>
        <w:div w:id="622461977">
          <w:marLeft w:val="0"/>
          <w:marRight w:val="0"/>
          <w:marTop w:val="0"/>
          <w:marBottom w:val="0"/>
          <w:divBdr>
            <w:top w:val="none" w:sz="0" w:space="0" w:color="auto"/>
            <w:left w:val="none" w:sz="0" w:space="0" w:color="auto"/>
            <w:bottom w:val="none" w:sz="0" w:space="0" w:color="auto"/>
            <w:right w:val="none" w:sz="0" w:space="0" w:color="auto"/>
          </w:divBdr>
          <w:divsChild>
            <w:div w:id="61611164">
              <w:marLeft w:val="0"/>
              <w:marRight w:val="0"/>
              <w:marTop w:val="0"/>
              <w:marBottom w:val="0"/>
              <w:divBdr>
                <w:top w:val="none" w:sz="0" w:space="0" w:color="auto"/>
                <w:left w:val="none" w:sz="0" w:space="0" w:color="auto"/>
                <w:bottom w:val="none" w:sz="0" w:space="0" w:color="auto"/>
                <w:right w:val="none" w:sz="0" w:space="0" w:color="auto"/>
              </w:divBdr>
            </w:div>
            <w:div w:id="151410533">
              <w:marLeft w:val="0"/>
              <w:marRight w:val="0"/>
              <w:marTop w:val="0"/>
              <w:marBottom w:val="0"/>
              <w:divBdr>
                <w:top w:val="none" w:sz="0" w:space="0" w:color="auto"/>
                <w:left w:val="none" w:sz="0" w:space="0" w:color="auto"/>
                <w:bottom w:val="none" w:sz="0" w:space="0" w:color="auto"/>
                <w:right w:val="none" w:sz="0" w:space="0" w:color="auto"/>
              </w:divBdr>
            </w:div>
            <w:div w:id="214199954">
              <w:marLeft w:val="0"/>
              <w:marRight w:val="0"/>
              <w:marTop w:val="0"/>
              <w:marBottom w:val="0"/>
              <w:divBdr>
                <w:top w:val="none" w:sz="0" w:space="0" w:color="auto"/>
                <w:left w:val="none" w:sz="0" w:space="0" w:color="auto"/>
                <w:bottom w:val="none" w:sz="0" w:space="0" w:color="auto"/>
                <w:right w:val="none" w:sz="0" w:space="0" w:color="auto"/>
              </w:divBdr>
            </w:div>
            <w:div w:id="1882596609">
              <w:marLeft w:val="0"/>
              <w:marRight w:val="0"/>
              <w:marTop w:val="0"/>
              <w:marBottom w:val="0"/>
              <w:divBdr>
                <w:top w:val="none" w:sz="0" w:space="0" w:color="auto"/>
                <w:left w:val="none" w:sz="0" w:space="0" w:color="auto"/>
                <w:bottom w:val="none" w:sz="0" w:space="0" w:color="auto"/>
                <w:right w:val="none" w:sz="0" w:space="0" w:color="auto"/>
              </w:divBdr>
            </w:div>
            <w:div w:id="1986467682">
              <w:marLeft w:val="0"/>
              <w:marRight w:val="0"/>
              <w:marTop w:val="0"/>
              <w:marBottom w:val="0"/>
              <w:divBdr>
                <w:top w:val="none" w:sz="0" w:space="0" w:color="auto"/>
                <w:left w:val="none" w:sz="0" w:space="0" w:color="auto"/>
                <w:bottom w:val="none" w:sz="0" w:space="0" w:color="auto"/>
                <w:right w:val="none" w:sz="0" w:space="0" w:color="auto"/>
              </w:divBdr>
            </w:div>
          </w:divsChild>
        </w:div>
        <w:div w:id="625701130">
          <w:marLeft w:val="0"/>
          <w:marRight w:val="0"/>
          <w:marTop w:val="0"/>
          <w:marBottom w:val="0"/>
          <w:divBdr>
            <w:top w:val="none" w:sz="0" w:space="0" w:color="auto"/>
            <w:left w:val="none" w:sz="0" w:space="0" w:color="auto"/>
            <w:bottom w:val="none" w:sz="0" w:space="0" w:color="auto"/>
            <w:right w:val="none" w:sz="0" w:space="0" w:color="auto"/>
          </w:divBdr>
        </w:div>
        <w:div w:id="647635018">
          <w:marLeft w:val="0"/>
          <w:marRight w:val="0"/>
          <w:marTop w:val="0"/>
          <w:marBottom w:val="0"/>
          <w:divBdr>
            <w:top w:val="none" w:sz="0" w:space="0" w:color="auto"/>
            <w:left w:val="none" w:sz="0" w:space="0" w:color="auto"/>
            <w:bottom w:val="none" w:sz="0" w:space="0" w:color="auto"/>
            <w:right w:val="none" w:sz="0" w:space="0" w:color="auto"/>
          </w:divBdr>
        </w:div>
        <w:div w:id="659311162">
          <w:marLeft w:val="0"/>
          <w:marRight w:val="0"/>
          <w:marTop w:val="0"/>
          <w:marBottom w:val="0"/>
          <w:divBdr>
            <w:top w:val="none" w:sz="0" w:space="0" w:color="auto"/>
            <w:left w:val="none" w:sz="0" w:space="0" w:color="auto"/>
            <w:bottom w:val="none" w:sz="0" w:space="0" w:color="auto"/>
            <w:right w:val="none" w:sz="0" w:space="0" w:color="auto"/>
          </w:divBdr>
        </w:div>
        <w:div w:id="663167678">
          <w:marLeft w:val="0"/>
          <w:marRight w:val="0"/>
          <w:marTop w:val="0"/>
          <w:marBottom w:val="0"/>
          <w:divBdr>
            <w:top w:val="none" w:sz="0" w:space="0" w:color="auto"/>
            <w:left w:val="none" w:sz="0" w:space="0" w:color="auto"/>
            <w:bottom w:val="none" w:sz="0" w:space="0" w:color="auto"/>
            <w:right w:val="none" w:sz="0" w:space="0" w:color="auto"/>
          </w:divBdr>
        </w:div>
        <w:div w:id="669990936">
          <w:marLeft w:val="0"/>
          <w:marRight w:val="0"/>
          <w:marTop w:val="0"/>
          <w:marBottom w:val="0"/>
          <w:divBdr>
            <w:top w:val="none" w:sz="0" w:space="0" w:color="auto"/>
            <w:left w:val="none" w:sz="0" w:space="0" w:color="auto"/>
            <w:bottom w:val="none" w:sz="0" w:space="0" w:color="auto"/>
            <w:right w:val="none" w:sz="0" w:space="0" w:color="auto"/>
          </w:divBdr>
        </w:div>
        <w:div w:id="670567006">
          <w:marLeft w:val="0"/>
          <w:marRight w:val="0"/>
          <w:marTop w:val="0"/>
          <w:marBottom w:val="0"/>
          <w:divBdr>
            <w:top w:val="none" w:sz="0" w:space="0" w:color="auto"/>
            <w:left w:val="none" w:sz="0" w:space="0" w:color="auto"/>
            <w:bottom w:val="none" w:sz="0" w:space="0" w:color="auto"/>
            <w:right w:val="none" w:sz="0" w:space="0" w:color="auto"/>
          </w:divBdr>
        </w:div>
        <w:div w:id="672101229">
          <w:marLeft w:val="0"/>
          <w:marRight w:val="0"/>
          <w:marTop w:val="0"/>
          <w:marBottom w:val="0"/>
          <w:divBdr>
            <w:top w:val="none" w:sz="0" w:space="0" w:color="auto"/>
            <w:left w:val="none" w:sz="0" w:space="0" w:color="auto"/>
            <w:bottom w:val="none" w:sz="0" w:space="0" w:color="auto"/>
            <w:right w:val="none" w:sz="0" w:space="0" w:color="auto"/>
          </w:divBdr>
        </w:div>
        <w:div w:id="686831569">
          <w:marLeft w:val="0"/>
          <w:marRight w:val="0"/>
          <w:marTop w:val="0"/>
          <w:marBottom w:val="0"/>
          <w:divBdr>
            <w:top w:val="none" w:sz="0" w:space="0" w:color="auto"/>
            <w:left w:val="none" w:sz="0" w:space="0" w:color="auto"/>
            <w:bottom w:val="none" w:sz="0" w:space="0" w:color="auto"/>
            <w:right w:val="none" w:sz="0" w:space="0" w:color="auto"/>
          </w:divBdr>
        </w:div>
        <w:div w:id="687566659">
          <w:marLeft w:val="0"/>
          <w:marRight w:val="0"/>
          <w:marTop w:val="0"/>
          <w:marBottom w:val="0"/>
          <w:divBdr>
            <w:top w:val="none" w:sz="0" w:space="0" w:color="auto"/>
            <w:left w:val="none" w:sz="0" w:space="0" w:color="auto"/>
            <w:bottom w:val="none" w:sz="0" w:space="0" w:color="auto"/>
            <w:right w:val="none" w:sz="0" w:space="0" w:color="auto"/>
          </w:divBdr>
          <w:divsChild>
            <w:div w:id="231353977">
              <w:marLeft w:val="0"/>
              <w:marRight w:val="0"/>
              <w:marTop w:val="0"/>
              <w:marBottom w:val="0"/>
              <w:divBdr>
                <w:top w:val="none" w:sz="0" w:space="0" w:color="auto"/>
                <w:left w:val="none" w:sz="0" w:space="0" w:color="auto"/>
                <w:bottom w:val="none" w:sz="0" w:space="0" w:color="auto"/>
                <w:right w:val="none" w:sz="0" w:space="0" w:color="auto"/>
              </w:divBdr>
            </w:div>
            <w:div w:id="394163133">
              <w:marLeft w:val="0"/>
              <w:marRight w:val="0"/>
              <w:marTop w:val="0"/>
              <w:marBottom w:val="0"/>
              <w:divBdr>
                <w:top w:val="none" w:sz="0" w:space="0" w:color="auto"/>
                <w:left w:val="none" w:sz="0" w:space="0" w:color="auto"/>
                <w:bottom w:val="none" w:sz="0" w:space="0" w:color="auto"/>
                <w:right w:val="none" w:sz="0" w:space="0" w:color="auto"/>
              </w:divBdr>
            </w:div>
            <w:div w:id="1015309730">
              <w:marLeft w:val="0"/>
              <w:marRight w:val="0"/>
              <w:marTop w:val="0"/>
              <w:marBottom w:val="0"/>
              <w:divBdr>
                <w:top w:val="none" w:sz="0" w:space="0" w:color="auto"/>
                <w:left w:val="none" w:sz="0" w:space="0" w:color="auto"/>
                <w:bottom w:val="none" w:sz="0" w:space="0" w:color="auto"/>
                <w:right w:val="none" w:sz="0" w:space="0" w:color="auto"/>
              </w:divBdr>
            </w:div>
            <w:div w:id="1114134481">
              <w:marLeft w:val="0"/>
              <w:marRight w:val="0"/>
              <w:marTop w:val="0"/>
              <w:marBottom w:val="0"/>
              <w:divBdr>
                <w:top w:val="none" w:sz="0" w:space="0" w:color="auto"/>
                <w:left w:val="none" w:sz="0" w:space="0" w:color="auto"/>
                <w:bottom w:val="none" w:sz="0" w:space="0" w:color="auto"/>
                <w:right w:val="none" w:sz="0" w:space="0" w:color="auto"/>
              </w:divBdr>
            </w:div>
            <w:div w:id="1818037313">
              <w:marLeft w:val="0"/>
              <w:marRight w:val="0"/>
              <w:marTop w:val="0"/>
              <w:marBottom w:val="0"/>
              <w:divBdr>
                <w:top w:val="none" w:sz="0" w:space="0" w:color="auto"/>
                <w:left w:val="none" w:sz="0" w:space="0" w:color="auto"/>
                <w:bottom w:val="none" w:sz="0" w:space="0" w:color="auto"/>
                <w:right w:val="none" w:sz="0" w:space="0" w:color="auto"/>
              </w:divBdr>
            </w:div>
          </w:divsChild>
        </w:div>
        <w:div w:id="687676874">
          <w:marLeft w:val="0"/>
          <w:marRight w:val="0"/>
          <w:marTop w:val="0"/>
          <w:marBottom w:val="0"/>
          <w:divBdr>
            <w:top w:val="none" w:sz="0" w:space="0" w:color="auto"/>
            <w:left w:val="none" w:sz="0" w:space="0" w:color="auto"/>
            <w:bottom w:val="none" w:sz="0" w:space="0" w:color="auto"/>
            <w:right w:val="none" w:sz="0" w:space="0" w:color="auto"/>
          </w:divBdr>
        </w:div>
        <w:div w:id="702025846">
          <w:marLeft w:val="0"/>
          <w:marRight w:val="0"/>
          <w:marTop w:val="0"/>
          <w:marBottom w:val="0"/>
          <w:divBdr>
            <w:top w:val="none" w:sz="0" w:space="0" w:color="auto"/>
            <w:left w:val="none" w:sz="0" w:space="0" w:color="auto"/>
            <w:bottom w:val="none" w:sz="0" w:space="0" w:color="auto"/>
            <w:right w:val="none" w:sz="0" w:space="0" w:color="auto"/>
          </w:divBdr>
        </w:div>
        <w:div w:id="710958493">
          <w:marLeft w:val="0"/>
          <w:marRight w:val="0"/>
          <w:marTop w:val="0"/>
          <w:marBottom w:val="0"/>
          <w:divBdr>
            <w:top w:val="none" w:sz="0" w:space="0" w:color="auto"/>
            <w:left w:val="none" w:sz="0" w:space="0" w:color="auto"/>
            <w:bottom w:val="none" w:sz="0" w:space="0" w:color="auto"/>
            <w:right w:val="none" w:sz="0" w:space="0" w:color="auto"/>
          </w:divBdr>
        </w:div>
        <w:div w:id="711735742">
          <w:marLeft w:val="0"/>
          <w:marRight w:val="0"/>
          <w:marTop w:val="0"/>
          <w:marBottom w:val="0"/>
          <w:divBdr>
            <w:top w:val="none" w:sz="0" w:space="0" w:color="auto"/>
            <w:left w:val="none" w:sz="0" w:space="0" w:color="auto"/>
            <w:bottom w:val="none" w:sz="0" w:space="0" w:color="auto"/>
            <w:right w:val="none" w:sz="0" w:space="0" w:color="auto"/>
          </w:divBdr>
        </w:div>
        <w:div w:id="715854407">
          <w:marLeft w:val="0"/>
          <w:marRight w:val="0"/>
          <w:marTop w:val="0"/>
          <w:marBottom w:val="0"/>
          <w:divBdr>
            <w:top w:val="none" w:sz="0" w:space="0" w:color="auto"/>
            <w:left w:val="none" w:sz="0" w:space="0" w:color="auto"/>
            <w:bottom w:val="none" w:sz="0" w:space="0" w:color="auto"/>
            <w:right w:val="none" w:sz="0" w:space="0" w:color="auto"/>
          </w:divBdr>
        </w:div>
        <w:div w:id="723455951">
          <w:marLeft w:val="0"/>
          <w:marRight w:val="0"/>
          <w:marTop w:val="0"/>
          <w:marBottom w:val="0"/>
          <w:divBdr>
            <w:top w:val="none" w:sz="0" w:space="0" w:color="auto"/>
            <w:left w:val="none" w:sz="0" w:space="0" w:color="auto"/>
            <w:bottom w:val="none" w:sz="0" w:space="0" w:color="auto"/>
            <w:right w:val="none" w:sz="0" w:space="0" w:color="auto"/>
          </w:divBdr>
        </w:div>
        <w:div w:id="723484242">
          <w:marLeft w:val="0"/>
          <w:marRight w:val="0"/>
          <w:marTop w:val="0"/>
          <w:marBottom w:val="0"/>
          <w:divBdr>
            <w:top w:val="none" w:sz="0" w:space="0" w:color="auto"/>
            <w:left w:val="none" w:sz="0" w:space="0" w:color="auto"/>
            <w:bottom w:val="none" w:sz="0" w:space="0" w:color="auto"/>
            <w:right w:val="none" w:sz="0" w:space="0" w:color="auto"/>
          </w:divBdr>
        </w:div>
        <w:div w:id="733695763">
          <w:marLeft w:val="0"/>
          <w:marRight w:val="0"/>
          <w:marTop w:val="0"/>
          <w:marBottom w:val="0"/>
          <w:divBdr>
            <w:top w:val="none" w:sz="0" w:space="0" w:color="auto"/>
            <w:left w:val="none" w:sz="0" w:space="0" w:color="auto"/>
            <w:bottom w:val="none" w:sz="0" w:space="0" w:color="auto"/>
            <w:right w:val="none" w:sz="0" w:space="0" w:color="auto"/>
          </w:divBdr>
          <w:divsChild>
            <w:div w:id="508760017">
              <w:marLeft w:val="0"/>
              <w:marRight w:val="0"/>
              <w:marTop w:val="0"/>
              <w:marBottom w:val="0"/>
              <w:divBdr>
                <w:top w:val="none" w:sz="0" w:space="0" w:color="auto"/>
                <w:left w:val="none" w:sz="0" w:space="0" w:color="auto"/>
                <w:bottom w:val="none" w:sz="0" w:space="0" w:color="auto"/>
                <w:right w:val="none" w:sz="0" w:space="0" w:color="auto"/>
              </w:divBdr>
            </w:div>
            <w:div w:id="585042327">
              <w:marLeft w:val="0"/>
              <w:marRight w:val="0"/>
              <w:marTop w:val="0"/>
              <w:marBottom w:val="0"/>
              <w:divBdr>
                <w:top w:val="none" w:sz="0" w:space="0" w:color="auto"/>
                <w:left w:val="none" w:sz="0" w:space="0" w:color="auto"/>
                <w:bottom w:val="none" w:sz="0" w:space="0" w:color="auto"/>
                <w:right w:val="none" w:sz="0" w:space="0" w:color="auto"/>
              </w:divBdr>
            </w:div>
            <w:div w:id="837499275">
              <w:marLeft w:val="0"/>
              <w:marRight w:val="0"/>
              <w:marTop w:val="0"/>
              <w:marBottom w:val="0"/>
              <w:divBdr>
                <w:top w:val="none" w:sz="0" w:space="0" w:color="auto"/>
                <w:left w:val="none" w:sz="0" w:space="0" w:color="auto"/>
                <w:bottom w:val="none" w:sz="0" w:space="0" w:color="auto"/>
                <w:right w:val="none" w:sz="0" w:space="0" w:color="auto"/>
              </w:divBdr>
            </w:div>
            <w:div w:id="1683437543">
              <w:marLeft w:val="0"/>
              <w:marRight w:val="0"/>
              <w:marTop w:val="0"/>
              <w:marBottom w:val="0"/>
              <w:divBdr>
                <w:top w:val="none" w:sz="0" w:space="0" w:color="auto"/>
                <w:left w:val="none" w:sz="0" w:space="0" w:color="auto"/>
                <w:bottom w:val="none" w:sz="0" w:space="0" w:color="auto"/>
                <w:right w:val="none" w:sz="0" w:space="0" w:color="auto"/>
              </w:divBdr>
            </w:div>
            <w:div w:id="1806464444">
              <w:marLeft w:val="0"/>
              <w:marRight w:val="0"/>
              <w:marTop w:val="0"/>
              <w:marBottom w:val="0"/>
              <w:divBdr>
                <w:top w:val="none" w:sz="0" w:space="0" w:color="auto"/>
                <w:left w:val="none" w:sz="0" w:space="0" w:color="auto"/>
                <w:bottom w:val="none" w:sz="0" w:space="0" w:color="auto"/>
                <w:right w:val="none" w:sz="0" w:space="0" w:color="auto"/>
              </w:divBdr>
            </w:div>
          </w:divsChild>
        </w:div>
        <w:div w:id="740566853">
          <w:marLeft w:val="0"/>
          <w:marRight w:val="0"/>
          <w:marTop w:val="0"/>
          <w:marBottom w:val="0"/>
          <w:divBdr>
            <w:top w:val="none" w:sz="0" w:space="0" w:color="auto"/>
            <w:left w:val="none" w:sz="0" w:space="0" w:color="auto"/>
            <w:bottom w:val="none" w:sz="0" w:space="0" w:color="auto"/>
            <w:right w:val="none" w:sz="0" w:space="0" w:color="auto"/>
          </w:divBdr>
        </w:div>
        <w:div w:id="740639608">
          <w:marLeft w:val="0"/>
          <w:marRight w:val="0"/>
          <w:marTop w:val="0"/>
          <w:marBottom w:val="0"/>
          <w:divBdr>
            <w:top w:val="none" w:sz="0" w:space="0" w:color="auto"/>
            <w:left w:val="none" w:sz="0" w:space="0" w:color="auto"/>
            <w:bottom w:val="none" w:sz="0" w:space="0" w:color="auto"/>
            <w:right w:val="none" w:sz="0" w:space="0" w:color="auto"/>
          </w:divBdr>
        </w:div>
        <w:div w:id="744761726">
          <w:marLeft w:val="0"/>
          <w:marRight w:val="0"/>
          <w:marTop w:val="0"/>
          <w:marBottom w:val="0"/>
          <w:divBdr>
            <w:top w:val="none" w:sz="0" w:space="0" w:color="auto"/>
            <w:left w:val="none" w:sz="0" w:space="0" w:color="auto"/>
            <w:bottom w:val="none" w:sz="0" w:space="0" w:color="auto"/>
            <w:right w:val="none" w:sz="0" w:space="0" w:color="auto"/>
          </w:divBdr>
        </w:div>
        <w:div w:id="765156783">
          <w:marLeft w:val="0"/>
          <w:marRight w:val="0"/>
          <w:marTop w:val="0"/>
          <w:marBottom w:val="0"/>
          <w:divBdr>
            <w:top w:val="none" w:sz="0" w:space="0" w:color="auto"/>
            <w:left w:val="none" w:sz="0" w:space="0" w:color="auto"/>
            <w:bottom w:val="none" w:sz="0" w:space="0" w:color="auto"/>
            <w:right w:val="none" w:sz="0" w:space="0" w:color="auto"/>
          </w:divBdr>
        </w:div>
        <w:div w:id="765999993">
          <w:marLeft w:val="0"/>
          <w:marRight w:val="0"/>
          <w:marTop w:val="0"/>
          <w:marBottom w:val="0"/>
          <w:divBdr>
            <w:top w:val="none" w:sz="0" w:space="0" w:color="auto"/>
            <w:left w:val="none" w:sz="0" w:space="0" w:color="auto"/>
            <w:bottom w:val="none" w:sz="0" w:space="0" w:color="auto"/>
            <w:right w:val="none" w:sz="0" w:space="0" w:color="auto"/>
          </w:divBdr>
        </w:div>
        <w:div w:id="784736439">
          <w:marLeft w:val="0"/>
          <w:marRight w:val="0"/>
          <w:marTop w:val="0"/>
          <w:marBottom w:val="0"/>
          <w:divBdr>
            <w:top w:val="none" w:sz="0" w:space="0" w:color="auto"/>
            <w:left w:val="none" w:sz="0" w:space="0" w:color="auto"/>
            <w:bottom w:val="none" w:sz="0" w:space="0" w:color="auto"/>
            <w:right w:val="none" w:sz="0" w:space="0" w:color="auto"/>
          </w:divBdr>
          <w:divsChild>
            <w:div w:id="63381601">
              <w:marLeft w:val="0"/>
              <w:marRight w:val="0"/>
              <w:marTop w:val="0"/>
              <w:marBottom w:val="0"/>
              <w:divBdr>
                <w:top w:val="none" w:sz="0" w:space="0" w:color="auto"/>
                <w:left w:val="none" w:sz="0" w:space="0" w:color="auto"/>
                <w:bottom w:val="none" w:sz="0" w:space="0" w:color="auto"/>
                <w:right w:val="none" w:sz="0" w:space="0" w:color="auto"/>
              </w:divBdr>
            </w:div>
            <w:div w:id="666523139">
              <w:marLeft w:val="0"/>
              <w:marRight w:val="0"/>
              <w:marTop w:val="0"/>
              <w:marBottom w:val="0"/>
              <w:divBdr>
                <w:top w:val="none" w:sz="0" w:space="0" w:color="auto"/>
                <w:left w:val="none" w:sz="0" w:space="0" w:color="auto"/>
                <w:bottom w:val="none" w:sz="0" w:space="0" w:color="auto"/>
                <w:right w:val="none" w:sz="0" w:space="0" w:color="auto"/>
              </w:divBdr>
            </w:div>
            <w:div w:id="895505566">
              <w:marLeft w:val="0"/>
              <w:marRight w:val="0"/>
              <w:marTop w:val="0"/>
              <w:marBottom w:val="0"/>
              <w:divBdr>
                <w:top w:val="none" w:sz="0" w:space="0" w:color="auto"/>
                <w:left w:val="none" w:sz="0" w:space="0" w:color="auto"/>
                <w:bottom w:val="none" w:sz="0" w:space="0" w:color="auto"/>
                <w:right w:val="none" w:sz="0" w:space="0" w:color="auto"/>
              </w:divBdr>
            </w:div>
            <w:div w:id="1193805585">
              <w:marLeft w:val="0"/>
              <w:marRight w:val="0"/>
              <w:marTop w:val="0"/>
              <w:marBottom w:val="0"/>
              <w:divBdr>
                <w:top w:val="none" w:sz="0" w:space="0" w:color="auto"/>
                <w:left w:val="none" w:sz="0" w:space="0" w:color="auto"/>
                <w:bottom w:val="none" w:sz="0" w:space="0" w:color="auto"/>
                <w:right w:val="none" w:sz="0" w:space="0" w:color="auto"/>
              </w:divBdr>
            </w:div>
            <w:div w:id="1434324507">
              <w:marLeft w:val="0"/>
              <w:marRight w:val="0"/>
              <w:marTop w:val="0"/>
              <w:marBottom w:val="0"/>
              <w:divBdr>
                <w:top w:val="none" w:sz="0" w:space="0" w:color="auto"/>
                <w:left w:val="none" w:sz="0" w:space="0" w:color="auto"/>
                <w:bottom w:val="none" w:sz="0" w:space="0" w:color="auto"/>
                <w:right w:val="none" w:sz="0" w:space="0" w:color="auto"/>
              </w:divBdr>
            </w:div>
          </w:divsChild>
        </w:div>
        <w:div w:id="789856221">
          <w:marLeft w:val="0"/>
          <w:marRight w:val="0"/>
          <w:marTop w:val="0"/>
          <w:marBottom w:val="0"/>
          <w:divBdr>
            <w:top w:val="none" w:sz="0" w:space="0" w:color="auto"/>
            <w:left w:val="none" w:sz="0" w:space="0" w:color="auto"/>
            <w:bottom w:val="none" w:sz="0" w:space="0" w:color="auto"/>
            <w:right w:val="none" w:sz="0" w:space="0" w:color="auto"/>
          </w:divBdr>
        </w:div>
        <w:div w:id="797379748">
          <w:marLeft w:val="0"/>
          <w:marRight w:val="0"/>
          <w:marTop w:val="0"/>
          <w:marBottom w:val="0"/>
          <w:divBdr>
            <w:top w:val="none" w:sz="0" w:space="0" w:color="auto"/>
            <w:left w:val="none" w:sz="0" w:space="0" w:color="auto"/>
            <w:bottom w:val="none" w:sz="0" w:space="0" w:color="auto"/>
            <w:right w:val="none" w:sz="0" w:space="0" w:color="auto"/>
          </w:divBdr>
        </w:div>
        <w:div w:id="826751980">
          <w:marLeft w:val="0"/>
          <w:marRight w:val="0"/>
          <w:marTop w:val="0"/>
          <w:marBottom w:val="0"/>
          <w:divBdr>
            <w:top w:val="none" w:sz="0" w:space="0" w:color="auto"/>
            <w:left w:val="none" w:sz="0" w:space="0" w:color="auto"/>
            <w:bottom w:val="none" w:sz="0" w:space="0" w:color="auto"/>
            <w:right w:val="none" w:sz="0" w:space="0" w:color="auto"/>
          </w:divBdr>
        </w:div>
        <w:div w:id="826828019">
          <w:marLeft w:val="0"/>
          <w:marRight w:val="0"/>
          <w:marTop w:val="0"/>
          <w:marBottom w:val="0"/>
          <w:divBdr>
            <w:top w:val="none" w:sz="0" w:space="0" w:color="auto"/>
            <w:left w:val="none" w:sz="0" w:space="0" w:color="auto"/>
            <w:bottom w:val="none" w:sz="0" w:space="0" w:color="auto"/>
            <w:right w:val="none" w:sz="0" w:space="0" w:color="auto"/>
          </w:divBdr>
        </w:div>
        <w:div w:id="829178246">
          <w:marLeft w:val="0"/>
          <w:marRight w:val="0"/>
          <w:marTop w:val="0"/>
          <w:marBottom w:val="0"/>
          <w:divBdr>
            <w:top w:val="none" w:sz="0" w:space="0" w:color="auto"/>
            <w:left w:val="none" w:sz="0" w:space="0" w:color="auto"/>
            <w:bottom w:val="none" w:sz="0" w:space="0" w:color="auto"/>
            <w:right w:val="none" w:sz="0" w:space="0" w:color="auto"/>
          </w:divBdr>
        </w:div>
        <w:div w:id="830563161">
          <w:marLeft w:val="0"/>
          <w:marRight w:val="0"/>
          <w:marTop w:val="0"/>
          <w:marBottom w:val="0"/>
          <w:divBdr>
            <w:top w:val="none" w:sz="0" w:space="0" w:color="auto"/>
            <w:left w:val="none" w:sz="0" w:space="0" w:color="auto"/>
            <w:bottom w:val="none" w:sz="0" w:space="0" w:color="auto"/>
            <w:right w:val="none" w:sz="0" w:space="0" w:color="auto"/>
          </w:divBdr>
        </w:div>
        <w:div w:id="835455364">
          <w:marLeft w:val="0"/>
          <w:marRight w:val="0"/>
          <w:marTop w:val="0"/>
          <w:marBottom w:val="0"/>
          <w:divBdr>
            <w:top w:val="none" w:sz="0" w:space="0" w:color="auto"/>
            <w:left w:val="none" w:sz="0" w:space="0" w:color="auto"/>
            <w:bottom w:val="none" w:sz="0" w:space="0" w:color="auto"/>
            <w:right w:val="none" w:sz="0" w:space="0" w:color="auto"/>
          </w:divBdr>
        </w:div>
        <w:div w:id="871068571">
          <w:marLeft w:val="0"/>
          <w:marRight w:val="0"/>
          <w:marTop w:val="0"/>
          <w:marBottom w:val="0"/>
          <w:divBdr>
            <w:top w:val="none" w:sz="0" w:space="0" w:color="auto"/>
            <w:left w:val="none" w:sz="0" w:space="0" w:color="auto"/>
            <w:bottom w:val="none" w:sz="0" w:space="0" w:color="auto"/>
            <w:right w:val="none" w:sz="0" w:space="0" w:color="auto"/>
          </w:divBdr>
        </w:div>
        <w:div w:id="903300430">
          <w:marLeft w:val="0"/>
          <w:marRight w:val="0"/>
          <w:marTop w:val="0"/>
          <w:marBottom w:val="0"/>
          <w:divBdr>
            <w:top w:val="none" w:sz="0" w:space="0" w:color="auto"/>
            <w:left w:val="none" w:sz="0" w:space="0" w:color="auto"/>
            <w:bottom w:val="none" w:sz="0" w:space="0" w:color="auto"/>
            <w:right w:val="none" w:sz="0" w:space="0" w:color="auto"/>
          </w:divBdr>
        </w:div>
        <w:div w:id="903493121">
          <w:marLeft w:val="0"/>
          <w:marRight w:val="0"/>
          <w:marTop w:val="0"/>
          <w:marBottom w:val="0"/>
          <w:divBdr>
            <w:top w:val="none" w:sz="0" w:space="0" w:color="auto"/>
            <w:left w:val="none" w:sz="0" w:space="0" w:color="auto"/>
            <w:bottom w:val="none" w:sz="0" w:space="0" w:color="auto"/>
            <w:right w:val="none" w:sz="0" w:space="0" w:color="auto"/>
          </w:divBdr>
          <w:divsChild>
            <w:div w:id="910430909">
              <w:marLeft w:val="0"/>
              <w:marRight w:val="0"/>
              <w:marTop w:val="0"/>
              <w:marBottom w:val="0"/>
              <w:divBdr>
                <w:top w:val="none" w:sz="0" w:space="0" w:color="auto"/>
                <w:left w:val="none" w:sz="0" w:space="0" w:color="auto"/>
                <w:bottom w:val="none" w:sz="0" w:space="0" w:color="auto"/>
                <w:right w:val="none" w:sz="0" w:space="0" w:color="auto"/>
              </w:divBdr>
            </w:div>
            <w:div w:id="1073938607">
              <w:marLeft w:val="0"/>
              <w:marRight w:val="0"/>
              <w:marTop w:val="0"/>
              <w:marBottom w:val="0"/>
              <w:divBdr>
                <w:top w:val="none" w:sz="0" w:space="0" w:color="auto"/>
                <w:left w:val="none" w:sz="0" w:space="0" w:color="auto"/>
                <w:bottom w:val="none" w:sz="0" w:space="0" w:color="auto"/>
                <w:right w:val="none" w:sz="0" w:space="0" w:color="auto"/>
              </w:divBdr>
            </w:div>
            <w:div w:id="1137727137">
              <w:marLeft w:val="0"/>
              <w:marRight w:val="0"/>
              <w:marTop w:val="0"/>
              <w:marBottom w:val="0"/>
              <w:divBdr>
                <w:top w:val="none" w:sz="0" w:space="0" w:color="auto"/>
                <w:left w:val="none" w:sz="0" w:space="0" w:color="auto"/>
                <w:bottom w:val="none" w:sz="0" w:space="0" w:color="auto"/>
                <w:right w:val="none" w:sz="0" w:space="0" w:color="auto"/>
              </w:divBdr>
            </w:div>
            <w:div w:id="1977250932">
              <w:marLeft w:val="0"/>
              <w:marRight w:val="0"/>
              <w:marTop w:val="0"/>
              <w:marBottom w:val="0"/>
              <w:divBdr>
                <w:top w:val="none" w:sz="0" w:space="0" w:color="auto"/>
                <w:left w:val="none" w:sz="0" w:space="0" w:color="auto"/>
                <w:bottom w:val="none" w:sz="0" w:space="0" w:color="auto"/>
                <w:right w:val="none" w:sz="0" w:space="0" w:color="auto"/>
              </w:divBdr>
            </w:div>
            <w:div w:id="2072120839">
              <w:marLeft w:val="0"/>
              <w:marRight w:val="0"/>
              <w:marTop w:val="0"/>
              <w:marBottom w:val="0"/>
              <w:divBdr>
                <w:top w:val="none" w:sz="0" w:space="0" w:color="auto"/>
                <w:left w:val="none" w:sz="0" w:space="0" w:color="auto"/>
                <w:bottom w:val="none" w:sz="0" w:space="0" w:color="auto"/>
                <w:right w:val="none" w:sz="0" w:space="0" w:color="auto"/>
              </w:divBdr>
            </w:div>
          </w:divsChild>
        </w:div>
        <w:div w:id="911935390">
          <w:marLeft w:val="0"/>
          <w:marRight w:val="0"/>
          <w:marTop w:val="0"/>
          <w:marBottom w:val="0"/>
          <w:divBdr>
            <w:top w:val="none" w:sz="0" w:space="0" w:color="auto"/>
            <w:left w:val="none" w:sz="0" w:space="0" w:color="auto"/>
            <w:bottom w:val="none" w:sz="0" w:space="0" w:color="auto"/>
            <w:right w:val="none" w:sz="0" w:space="0" w:color="auto"/>
          </w:divBdr>
        </w:div>
        <w:div w:id="915700839">
          <w:marLeft w:val="0"/>
          <w:marRight w:val="0"/>
          <w:marTop w:val="0"/>
          <w:marBottom w:val="0"/>
          <w:divBdr>
            <w:top w:val="none" w:sz="0" w:space="0" w:color="auto"/>
            <w:left w:val="none" w:sz="0" w:space="0" w:color="auto"/>
            <w:bottom w:val="none" w:sz="0" w:space="0" w:color="auto"/>
            <w:right w:val="none" w:sz="0" w:space="0" w:color="auto"/>
          </w:divBdr>
        </w:div>
        <w:div w:id="918174199">
          <w:marLeft w:val="0"/>
          <w:marRight w:val="0"/>
          <w:marTop w:val="0"/>
          <w:marBottom w:val="0"/>
          <w:divBdr>
            <w:top w:val="none" w:sz="0" w:space="0" w:color="auto"/>
            <w:left w:val="none" w:sz="0" w:space="0" w:color="auto"/>
            <w:bottom w:val="none" w:sz="0" w:space="0" w:color="auto"/>
            <w:right w:val="none" w:sz="0" w:space="0" w:color="auto"/>
          </w:divBdr>
        </w:div>
        <w:div w:id="930896369">
          <w:marLeft w:val="0"/>
          <w:marRight w:val="0"/>
          <w:marTop w:val="0"/>
          <w:marBottom w:val="0"/>
          <w:divBdr>
            <w:top w:val="none" w:sz="0" w:space="0" w:color="auto"/>
            <w:left w:val="none" w:sz="0" w:space="0" w:color="auto"/>
            <w:bottom w:val="none" w:sz="0" w:space="0" w:color="auto"/>
            <w:right w:val="none" w:sz="0" w:space="0" w:color="auto"/>
          </w:divBdr>
        </w:div>
        <w:div w:id="931667394">
          <w:marLeft w:val="0"/>
          <w:marRight w:val="0"/>
          <w:marTop w:val="0"/>
          <w:marBottom w:val="0"/>
          <w:divBdr>
            <w:top w:val="none" w:sz="0" w:space="0" w:color="auto"/>
            <w:left w:val="none" w:sz="0" w:space="0" w:color="auto"/>
            <w:bottom w:val="none" w:sz="0" w:space="0" w:color="auto"/>
            <w:right w:val="none" w:sz="0" w:space="0" w:color="auto"/>
          </w:divBdr>
        </w:div>
        <w:div w:id="932131163">
          <w:marLeft w:val="0"/>
          <w:marRight w:val="0"/>
          <w:marTop w:val="0"/>
          <w:marBottom w:val="0"/>
          <w:divBdr>
            <w:top w:val="none" w:sz="0" w:space="0" w:color="auto"/>
            <w:left w:val="none" w:sz="0" w:space="0" w:color="auto"/>
            <w:bottom w:val="none" w:sz="0" w:space="0" w:color="auto"/>
            <w:right w:val="none" w:sz="0" w:space="0" w:color="auto"/>
          </w:divBdr>
        </w:div>
        <w:div w:id="935208678">
          <w:marLeft w:val="0"/>
          <w:marRight w:val="0"/>
          <w:marTop w:val="0"/>
          <w:marBottom w:val="0"/>
          <w:divBdr>
            <w:top w:val="none" w:sz="0" w:space="0" w:color="auto"/>
            <w:left w:val="none" w:sz="0" w:space="0" w:color="auto"/>
            <w:bottom w:val="none" w:sz="0" w:space="0" w:color="auto"/>
            <w:right w:val="none" w:sz="0" w:space="0" w:color="auto"/>
          </w:divBdr>
        </w:div>
        <w:div w:id="940995254">
          <w:marLeft w:val="0"/>
          <w:marRight w:val="0"/>
          <w:marTop w:val="0"/>
          <w:marBottom w:val="0"/>
          <w:divBdr>
            <w:top w:val="none" w:sz="0" w:space="0" w:color="auto"/>
            <w:left w:val="none" w:sz="0" w:space="0" w:color="auto"/>
            <w:bottom w:val="none" w:sz="0" w:space="0" w:color="auto"/>
            <w:right w:val="none" w:sz="0" w:space="0" w:color="auto"/>
          </w:divBdr>
        </w:div>
        <w:div w:id="949968242">
          <w:marLeft w:val="0"/>
          <w:marRight w:val="0"/>
          <w:marTop w:val="0"/>
          <w:marBottom w:val="0"/>
          <w:divBdr>
            <w:top w:val="none" w:sz="0" w:space="0" w:color="auto"/>
            <w:left w:val="none" w:sz="0" w:space="0" w:color="auto"/>
            <w:bottom w:val="none" w:sz="0" w:space="0" w:color="auto"/>
            <w:right w:val="none" w:sz="0" w:space="0" w:color="auto"/>
          </w:divBdr>
        </w:div>
        <w:div w:id="955408563">
          <w:marLeft w:val="0"/>
          <w:marRight w:val="0"/>
          <w:marTop w:val="0"/>
          <w:marBottom w:val="0"/>
          <w:divBdr>
            <w:top w:val="none" w:sz="0" w:space="0" w:color="auto"/>
            <w:left w:val="none" w:sz="0" w:space="0" w:color="auto"/>
            <w:bottom w:val="none" w:sz="0" w:space="0" w:color="auto"/>
            <w:right w:val="none" w:sz="0" w:space="0" w:color="auto"/>
          </w:divBdr>
        </w:div>
        <w:div w:id="965158956">
          <w:marLeft w:val="0"/>
          <w:marRight w:val="0"/>
          <w:marTop w:val="0"/>
          <w:marBottom w:val="0"/>
          <w:divBdr>
            <w:top w:val="none" w:sz="0" w:space="0" w:color="auto"/>
            <w:left w:val="none" w:sz="0" w:space="0" w:color="auto"/>
            <w:bottom w:val="none" w:sz="0" w:space="0" w:color="auto"/>
            <w:right w:val="none" w:sz="0" w:space="0" w:color="auto"/>
          </w:divBdr>
          <w:divsChild>
            <w:div w:id="12070714">
              <w:marLeft w:val="0"/>
              <w:marRight w:val="0"/>
              <w:marTop w:val="0"/>
              <w:marBottom w:val="0"/>
              <w:divBdr>
                <w:top w:val="none" w:sz="0" w:space="0" w:color="auto"/>
                <w:left w:val="none" w:sz="0" w:space="0" w:color="auto"/>
                <w:bottom w:val="none" w:sz="0" w:space="0" w:color="auto"/>
                <w:right w:val="none" w:sz="0" w:space="0" w:color="auto"/>
              </w:divBdr>
            </w:div>
            <w:div w:id="189487944">
              <w:marLeft w:val="0"/>
              <w:marRight w:val="0"/>
              <w:marTop w:val="0"/>
              <w:marBottom w:val="0"/>
              <w:divBdr>
                <w:top w:val="none" w:sz="0" w:space="0" w:color="auto"/>
                <w:left w:val="none" w:sz="0" w:space="0" w:color="auto"/>
                <w:bottom w:val="none" w:sz="0" w:space="0" w:color="auto"/>
                <w:right w:val="none" w:sz="0" w:space="0" w:color="auto"/>
              </w:divBdr>
            </w:div>
            <w:div w:id="788553419">
              <w:marLeft w:val="0"/>
              <w:marRight w:val="0"/>
              <w:marTop w:val="0"/>
              <w:marBottom w:val="0"/>
              <w:divBdr>
                <w:top w:val="none" w:sz="0" w:space="0" w:color="auto"/>
                <w:left w:val="none" w:sz="0" w:space="0" w:color="auto"/>
                <w:bottom w:val="none" w:sz="0" w:space="0" w:color="auto"/>
                <w:right w:val="none" w:sz="0" w:space="0" w:color="auto"/>
              </w:divBdr>
            </w:div>
            <w:div w:id="1764371260">
              <w:marLeft w:val="0"/>
              <w:marRight w:val="0"/>
              <w:marTop w:val="0"/>
              <w:marBottom w:val="0"/>
              <w:divBdr>
                <w:top w:val="none" w:sz="0" w:space="0" w:color="auto"/>
                <w:left w:val="none" w:sz="0" w:space="0" w:color="auto"/>
                <w:bottom w:val="none" w:sz="0" w:space="0" w:color="auto"/>
                <w:right w:val="none" w:sz="0" w:space="0" w:color="auto"/>
              </w:divBdr>
            </w:div>
            <w:div w:id="1798454154">
              <w:marLeft w:val="0"/>
              <w:marRight w:val="0"/>
              <w:marTop w:val="0"/>
              <w:marBottom w:val="0"/>
              <w:divBdr>
                <w:top w:val="none" w:sz="0" w:space="0" w:color="auto"/>
                <w:left w:val="none" w:sz="0" w:space="0" w:color="auto"/>
                <w:bottom w:val="none" w:sz="0" w:space="0" w:color="auto"/>
                <w:right w:val="none" w:sz="0" w:space="0" w:color="auto"/>
              </w:divBdr>
            </w:div>
          </w:divsChild>
        </w:div>
        <w:div w:id="968441247">
          <w:marLeft w:val="0"/>
          <w:marRight w:val="0"/>
          <w:marTop w:val="0"/>
          <w:marBottom w:val="0"/>
          <w:divBdr>
            <w:top w:val="none" w:sz="0" w:space="0" w:color="auto"/>
            <w:left w:val="none" w:sz="0" w:space="0" w:color="auto"/>
            <w:bottom w:val="none" w:sz="0" w:space="0" w:color="auto"/>
            <w:right w:val="none" w:sz="0" w:space="0" w:color="auto"/>
          </w:divBdr>
        </w:div>
        <w:div w:id="982932666">
          <w:marLeft w:val="0"/>
          <w:marRight w:val="0"/>
          <w:marTop w:val="0"/>
          <w:marBottom w:val="0"/>
          <w:divBdr>
            <w:top w:val="none" w:sz="0" w:space="0" w:color="auto"/>
            <w:left w:val="none" w:sz="0" w:space="0" w:color="auto"/>
            <w:bottom w:val="none" w:sz="0" w:space="0" w:color="auto"/>
            <w:right w:val="none" w:sz="0" w:space="0" w:color="auto"/>
          </w:divBdr>
        </w:div>
        <w:div w:id="996762052">
          <w:marLeft w:val="0"/>
          <w:marRight w:val="0"/>
          <w:marTop w:val="0"/>
          <w:marBottom w:val="0"/>
          <w:divBdr>
            <w:top w:val="none" w:sz="0" w:space="0" w:color="auto"/>
            <w:left w:val="none" w:sz="0" w:space="0" w:color="auto"/>
            <w:bottom w:val="none" w:sz="0" w:space="0" w:color="auto"/>
            <w:right w:val="none" w:sz="0" w:space="0" w:color="auto"/>
          </w:divBdr>
          <w:divsChild>
            <w:div w:id="792790481">
              <w:marLeft w:val="0"/>
              <w:marRight w:val="0"/>
              <w:marTop w:val="0"/>
              <w:marBottom w:val="0"/>
              <w:divBdr>
                <w:top w:val="none" w:sz="0" w:space="0" w:color="auto"/>
                <w:left w:val="none" w:sz="0" w:space="0" w:color="auto"/>
                <w:bottom w:val="none" w:sz="0" w:space="0" w:color="auto"/>
                <w:right w:val="none" w:sz="0" w:space="0" w:color="auto"/>
              </w:divBdr>
            </w:div>
            <w:div w:id="986862590">
              <w:marLeft w:val="0"/>
              <w:marRight w:val="0"/>
              <w:marTop w:val="0"/>
              <w:marBottom w:val="0"/>
              <w:divBdr>
                <w:top w:val="none" w:sz="0" w:space="0" w:color="auto"/>
                <w:left w:val="none" w:sz="0" w:space="0" w:color="auto"/>
                <w:bottom w:val="none" w:sz="0" w:space="0" w:color="auto"/>
                <w:right w:val="none" w:sz="0" w:space="0" w:color="auto"/>
              </w:divBdr>
            </w:div>
            <w:div w:id="1215852126">
              <w:marLeft w:val="0"/>
              <w:marRight w:val="0"/>
              <w:marTop w:val="0"/>
              <w:marBottom w:val="0"/>
              <w:divBdr>
                <w:top w:val="none" w:sz="0" w:space="0" w:color="auto"/>
                <w:left w:val="none" w:sz="0" w:space="0" w:color="auto"/>
                <w:bottom w:val="none" w:sz="0" w:space="0" w:color="auto"/>
                <w:right w:val="none" w:sz="0" w:space="0" w:color="auto"/>
              </w:divBdr>
            </w:div>
            <w:div w:id="1437562072">
              <w:marLeft w:val="0"/>
              <w:marRight w:val="0"/>
              <w:marTop w:val="0"/>
              <w:marBottom w:val="0"/>
              <w:divBdr>
                <w:top w:val="none" w:sz="0" w:space="0" w:color="auto"/>
                <w:left w:val="none" w:sz="0" w:space="0" w:color="auto"/>
                <w:bottom w:val="none" w:sz="0" w:space="0" w:color="auto"/>
                <w:right w:val="none" w:sz="0" w:space="0" w:color="auto"/>
              </w:divBdr>
            </w:div>
            <w:div w:id="1678847448">
              <w:marLeft w:val="0"/>
              <w:marRight w:val="0"/>
              <w:marTop w:val="0"/>
              <w:marBottom w:val="0"/>
              <w:divBdr>
                <w:top w:val="none" w:sz="0" w:space="0" w:color="auto"/>
                <w:left w:val="none" w:sz="0" w:space="0" w:color="auto"/>
                <w:bottom w:val="none" w:sz="0" w:space="0" w:color="auto"/>
                <w:right w:val="none" w:sz="0" w:space="0" w:color="auto"/>
              </w:divBdr>
            </w:div>
          </w:divsChild>
        </w:div>
        <w:div w:id="998269080">
          <w:marLeft w:val="0"/>
          <w:marRight w:val="0"/>
          <w:marTop w:val="0"/>
          <w:marBottom w:val="0"/>
          <w:divBdr>
            <w:top w:val="none" w:sz="0" w:space="0" w:color="auto"/>
            <w:left w:val="none" w:sz="0" w:space="0" w:color="auto"/>
            <w:bottom w:val="none" w:sz="0" w:space="0" w:color="auto"/>
            <w:right w:val="none" w:sz="0" w:space="0" w:color="auto"/>
          </w:divBdr>
        </w:div>
        <w:div w:id="1017077049">
          <w:marLeft w:val="0"/>
          <w:marRight w:val="0"/>
          <w:marTop w:val="0"/>
          <w:marBottom w:val="0"/>
          <w:divBdr>
            <w:top w:val="none" w:sz="0" w:space="0" w:color="auto"/>
            <w:left w:val="none" w:sz="0" w:space="0" w:color="auto"/>
            <w:bottom w:val="none" w:sz="0" w:space="0" w:color="auto"/>
            <w:right w:val="none" w:sz="0" w:space="0" w:color="auto"/>
          </w:divBdr>
        </w:div>
        <w:div w:id="1032800828">
          <w:marLeft w:val="0"/>
          <w:marRight w:val="0"/>
          <w:marTop w:val="0"/>
          <w:marBottom w:val="0"/>
          <w:divBdr>
            <w:top w:val="none" w:sz="0" w:space="0" w:color="auto"/>
            <w:left w:val="none" w:sz="0" w:space="0" w:color="auto"/>
            <w:bottom w:val="none" w:sz="0" w:space="0" w:color="auto"/>
            <w:right w:val="none" w:sz="0" w:space="0" w:color="auto"/>
          </w:divBdr>
        </w:div>
        <w:div w:id="1034815627">
          <w:marLeft w:val="0"/>
          <w:marRight w:val="0"/>
          <w:marTop w:val="0"/>
          <w:marBottom w:val="0"/>
          <w:divBdr>
            <w:top w:val="none" w:sz="0" w:space="0" w:color="auto"/>
            <w:left w:val="none" w:sz="0" w:space="0" w:color="auto"/>
            <w:bottom w:val="none" w:sz="0" w:space="0" w:color="auto"/>
            <w:right w:val="none" w:sz="0" w:space="0" w:color="auto"/>
          </w:divBdr>
        </w:div>
        <w:div w:id="1044135661">
          <w:marLeft w:val="0"/>
          <w:marRight w:val="0"/>
          <w:marTop w:val="0"/>
          <w:marBottom w:val="0"/>
          <w:divBdr>
            <w:top w:val="none" w:sz="0" w:space="0" w:color="auto"/>
            <w:left w:val="none" w:sz="0" w:space="0" w:color="auto"/>
            <w:bottom w:val="none" w:sz="0" w:space="0" w:color="auto"/>
            <w:right w:val="none" w:sz="0" w:space="0" w:color="auto"/>
          </w:divBdr>
        </w:div>
        <w:div w:id="1053851016">
          <w:marLeft w:val="0"/>
          <w:marRight w:val="0"/>
          <w:marTop w:val="0"/>
          <w:marBottom w:val="0"/>
          <w:divBdr>
            <w:top w:val="none" w:sz="0" w:space="0" w:color="auto"/>
            <w:left w:val="none" w:sz="0" w:space="0" w:color="auto"/>
            <w:bottom w:val="none" w:sz="0" w:space="0" w:color="auto"/>
            <w:right w:val="none" w:sz="0" w:space="0" w:color="auto"/>
          </w:divBdr>
        </w:div>
        <w:div w:id="1053968835">
          <w:marLeft w:val="0"/>
          <w:marRight w:val="0"/>
          <w:marTop w:val="0"/>
          <w:marBottom w:val="0"/>
          <w:divBdr>
            <w:top w:val="none" w:sz="0" w:space="0" w:color="auto"/>
            <w:left w:val="none" w:sz="0" w:space="0" w:color="auto"/>
            <w:bottom w:val="none" w:sz="0" w:space="0" w:color="auto"/>
            <w:right w:val="none" w:sz="0" w:space="0" w:color="auto"/>
          </w:divBdr>
          <w:divsChild>
            <w:div w:id="595527942">
              <w:marLeft w:val="0"/>
              <w:marRight w:val="0"/>
              <w:marTop w:val="0"/>
              <w:marBottom w:val="0"/>
              <w:divBdr>
                <w:top w:val="none" w:sz="0" w:space="0" w:color="auto"/>
                <w:left w:val="none" w:sz="0" w:space="0" w:color="auto"/>
                <w:bottom w:val="none" w:sz="0" w:space="0" w:color="auto"/>
                <w:right w:val="none" w:sz="0" w:space="0" w:color="auto"/>
              </w:divBdr>
            </w:div>
            <w:div w:id="693192991">
              <w:marLeft w:val="0"/>
              <w:marRight w:val="0"/>
              <w:marTop w:val="0"/>
              <w:marBottom w:val="0"/>
              <w:divBdr>
                <w:top w:val="none" w:sz="0" w:space="0" w:color="auto"/>
                <w:left w:val="none" w:sz="0" w:space="0" w:color="auto"/>
                <w:bottom w:val="none" w:sz="0" w:space="0" w:color="auto"/>
                <w:right w:val="none" w:sz="0" w:space="0" w:color="auto"/>
              </w:divBdr>
            </w:div>
            <w:div w:id="934678103">
              <w:marLeft w:val="0"/>
              <w:marRight w:val="0"/>
              <w:marTop w:val="0"/>
              <w:marBottom w:val="0"/>
              <w:divBdr>
                <w:top w:val="none" w:sz="0" w:space="0" w:color="auto"/>
                <w:left w:val="none" w:sz="0" w:space="0" w:color="auto"/>
                <w:bottom w:val="none" w:sz="0" w:space="0" w:color="auto"/>
                <w:right w:val="none" w:sz="0" w:space="0" w:color="auto"/>
              </w:divBdr>
            </w:div>
            <w:div w:id="1273633539">
              <w:marLeft w:val="0"/>
              <w:marRight w:val="0"/>
              <w:marTop w:val="0"/>
              <w:marBottom w:val="0"/>
              <w:divBdr>
                <w:top w:val="none" w:sz="0" w:space="0" w:color="auto"/>
                <w:left w:val="none" w:sz="0" w:space="0" w:color="auto"/>
                <w:bottom w:val="none" w:sz="0" w:space="0" w:color="auto"/>
                <w:right w:val="none" w:sz="0" w:space="0" w:color="auto"/>
              </w:divBdr>
            </w:div>
            <w:div w:id="1641811112">
              <w:marLeft w:val="0"/>
              <w:marRight w:val="0"/>
              <w:marTop w:val="0"/>
              <w:marBottom w:val="0"/>
              <w:divBdr>
                <w:top w:val="none" w:sz="0" w:space="0" w:color="auto"/>
                <w:left w:val="none" w:sz="0" w:space="0" w:color="auto"/>
                <w:bottom w:val="none" w:sz="0" w:space="0" w:color="auto"/>
                <w:right w:val="none" w:sz="0" w:space="0" w:color="auto"/>
              </w:divBdr>
            </w:div>
          </w:divsChild>
        </w:div>
        <w:div w:id="1068114263">
          <w:marLeft w:val="0"/>
          <w:marRight w:val="0"/>
          <w:marTop w:val="0"/>
          <w:marBottom w:val="0"/>
          <w:divBdr>
            <w:top w:val="none" w:sz="0" w:space="0" w:color="auto"/>
            <w:left w:val="none" w:sz="0" w:space="0" w:color="auto"/>
            <w:bottom w:val="none" w:sz="0" w:space="0" w:color="auto"/>
            <w:right w:val="none" w:sz="0" w:space="0" w:color="auto"/>
          </w:divBdr>
        </w:div>
        <w:div w:id="1073822432">
          <w:marLeft w:val="0"/>
          <w:marRight w:val="0"/>
          <w:marTop w:val="0"/>
          <w:marBottom w:val="0"/>
          <w:divBdr>
            <w:top w:val="none" w:sz="0" w:space="0" w:color="auto"/>
            <w:left w:val="none" w:sz="0" w:space="0" w:color="auto"/>
            <w:bottom w:val="none" w:sz="0" w:space="0" w:color="auto"/>
            <w:right w:val="none" w:sz="0" w:space="0" w:color="auto"/>
          </w:divBdr>
        </w:div>
        <w:div w:id="1090540794">
          <w:marLeft w:val="0"/>
          <w:marRight w:val="0"/>
          <w:marTop w:val="0"/>
          <w:marBottom w:val="0"/>
          <w:divBdr>
            <w:top w:val="none" w:sz="0" w:space="0" w:color="auto"/>
            <w:left w:val="none" w:sz="0" w:space="0" w:color="auto"/>
            <w:bottom w:val="none" w:sz="0" w:space="0" w:color="auto"/>
            <w:right w:val="none" w:sz="0" w:space="0" w:color="auto"/>
          </w:divBdr>
        </w:div>
        <w:div w:id="1091853209">
          <w:marLeft w:val="0"/>
          <w:marRight w:val="0"/>
          <w:marTop w:val="0"/>
          <w:marBottom w:val="0"/>
          <w:divBdr>
            <w:top w:val="none" w:sz="0" w:space="0" w:color="auto"/>
            <w:left w:val="none" w:sz="0" w:space="0" w:color="auto"/>
            <w:bottom w:val="none" w:sz="0" w:space="0" w:color="auto"/>
            <w:right w:val="none" w:sz="0" w:space="0" w:color="auto"/>
          </w:divBdr>
        </w:div>
        <w:div w:id="1093665835">
          <w:marLeft w:val="0"/>
          <w:marRight w:val="0"/>
          <w:marTop w:val="0"/>
          <w:marBottom w:val="0"/>
          <w:divBdr>
            <w:top w:val="none" w:sz="0" w:space="0" w:color="auto"/>
            <w:left w:val="none" w:sz="0" w:space="0" w:color="auto"/>
            <w:bottom w:val="none" w:sz="0" w:space="0" w:color="auto"/>
            <w:right w:val="none" w:sz="0" w:space="0" w:color="auto"/>
          </w:divBdr>
        </w:div>
        <w:div w:id="1106535135">
          <w:marLeft w:val="0"/>
          <w:marRight w:val="0"/>
          <w:marTop w:val="0"/>
          <w:marBottom w:val="0"/>
          <w:divBdr>
            <w:top w:val="none" w:sz="0" w:space="0" w:color="auto"/>
            <w:left w:val="none" w:sz="0" w:space="0" w:color="auto"/>
            <w:bottom w:val="none" w:sz="0" w:space="0" w:color="auto"/>
            <w:right w:val="none" w:sz="0" w:space="0" w:color="auto"/>
          </w:divBdr>
        </w:div>
        <w:div w:id="1136948424">
          <w:marLeft w:val="0"/>
          <w:marRight w:val="0"/>
          <w:marTop w:val="0"/>
          <w:marBottom w:val="0"/>
          <w:divBdr>
            <w:top w:val="none" w:sz="0" w:space="0" w:color="auto"/>
            <w:left w:val="none" w:sz="0" w:space="0" w:color="auto"/>
            <w:bottom w:val="none" w:sz="0" w:space="0" w:color="auto"/>
            <w:right w:val="none" w:sz="0" w:space="0" w:color="auto"/>
          </w:divBdr>
        </w:div>
        <w:div w:id="1139028966">
          <w:marLeft w:val="0"/>
          <w:marRight w:val="0"/>
          <w:marTop w:val="0"/>
          <w:marBottom w:val="0"/>
          <w:divBdr>
            <w:top w:val="none" w:sz="0" w:space="0" w:color="auto"/>
            <w:left w:val="none" w:sz="0" w:space="0" w:color="auto"/>
            <w:bottom w:val="none" w:sz="0" w:space="0" w:color="auto"/>
            <w:right w:val="none" w:sz="0" w:space="0" w:color="auto"/>
          </w:divBdr>
        </w:div>
        <w:div w:id="1144083264">
          <w:marLeft w:val="0"/>
          <w:marRight w:val="0"/>
          <w:marTop w:val="0"/>
          <w:marBottom w:val="0"/>
          <w:divBdr>
            <w:top w:val="none" w:sz="0" w:space="0" w:color="auto"/>
            <w:left w:val="none" w:sz="0" w:space="0" w:color="auto"/>
            <w:bottom w:val="none" w:sz="0" w:space="0" w:color="auto"/>
            <w:right w:val="none" w:sz="0" w:space="0" w:color="auto"/>
          </w:divBdr>
          <w:divsChild>
            <w:div w:id="642589640">
              <w:marLeft w:val="-75"/>
              <w:marRight w:val="0"/>
              <w:marTop w:val="30"/>
              <w:marBottom w:val="30"/>
              <w:divBdr>
                <w:top w:val="none" w:sz="0" w:space="0" w:color="auto"/>
                <w:left w:val="none" w:sz="0" w:space="0" w:color="auto"/>
                <w:bottom w:val="none" w:sz="0" w:space="0" w:color="auto"/>
                <w:right w:val="none" w:sz="0" w:space="0" w:color="auto"/>
              </w:divBdr>
              <w:divsChild>
                <w:div w:id="108204517">
                  <w:marLeft w:val="0"/>
                  <w:marRight w:val="0"/>
                  <w:marTop w:val="0"/>
                  <w:marBottom w:val="0"/>
                  <w:divBdr>
                    <w:top w:val="none" w:sz="0" w:space="0" w:color="auto"/>
                    <w:left w:val="none" w:sz="0" w:space="0" w:color="auto"/>
                    <w:bottom w:val="none" w:sz="0" w:space="0" w:color="auto"/>
                    <w:right w:val="none" w:sz="0" w:space="0" w:color="auto"/>
                  </w:divBdr>
                  <w:divsChild>
                    <w:div w:id="1313412721">
                      <w:marLeft w:val="0"/>
                      <w:marRight w:val="0"/>
                      <w:marTop w:val="0"/>
                      <w:marBottom w:val="0"/>
                      <w:divBdr>
                        <w:top w:val="none" w:sz="0" w:space="0" w:color="auto"/>
                        <w:left w:val="none" w:sz="0" w:space="0" w:color="auto"/>
                        <w:bottom w:val="none" w:sz="0" w:space="0" w:color="auto"/>
                        <w:right w:val="none" w:sz="0" w:space="0" w:color="auto"/>
                      </w:divBdr>
                    </w:div>
                  </w:divsChild>
                </w:div>
                <w:div w:id="119109826">
                  <w:marLeft w:val="0"/>
                  <w:marRight w:val="0"/>
                  <w:marTop w:val="0"/>
                  <w:marBottom w:val="0"/>
                  <w:divBdr>
                    <w:top w:val="none" w:sz="0" w:space="0" w:color="auto"/>
                    <w:left w:val="none" w:sz="0" w:space="0" w:color="auto"/>
                    <w:bottom w:val="none" w:sz="0" w:space="0" w:color="auto"/>
                    <w:right w:val="none" w:sz="0" w:space="0" w:color="auto"/>
                  </w:divBdr>
                  <w:divsChild>
                    <w:div w:id="759302228">
                      <w:marLeft w:val="0"/>
                      <w:marRight w:val="0"/>
                      <w:marTop w:val="0"/>
                      <w:marBottom w:val="0"/>
                      <w:divBdr>
                        <w:top w:val="none" w:sz="0" w:space="0" w:color="auto"/>
                        <w:left w:val="none" w:sz="0" w:space="0" w:color="auto"/>
                        <w:bottom w:val="none" w:sz="0" w:space="0" w:color="auto"/>
                        <w:right w:val="none" w:sz="0" w:space="0" w:color="auto"/>
                      </w:divBdr>
                    </w:div>
                  </w:divsChild>
                </w:div>
                <w:div w:id="132872568">
                  <w:marLeft w:val="0"/>
                  <w:marRight w:val="0"/>
                  <w:marTop w:val="0"/>
                  <w:marBottom w:val="0"/>
                  <w:divBdr>
                    <w:top w:val="none" w:sz="0" w:space="0" w:color="auto"/>
                    <w:left w:val="none" w:sz="0" w:space="0" w:color="auto"/>
                    <w:bottom w:val="none" w:sz="0" w:space="0" w:color="auto"/>
                    <w:right w:val="none" w:sz="0" w:space="0" w:color="auto"/>
                  </w:divBdr>
                  <w:divsChild>
                    <w:div w:id="485165490">
                      <w:marLeft w:val="0"/>
                      <w:marRight w:val="0"/>
                      <w:marTop w:val="0"/>
                      <w:marBottom w:val="0"/>
                      <w:divBdr>
                        <w:top w:val="none" w:sz="0" w:space="0" w:color="auto"/>
                        <w:left w:val="none" w:sz="0" w:space="0" w:color="auto"/>
                        <w:bottom w:val="none" w:sz="0" w:space="0" w:color="auto"/>
                        <w:right w:val="none" w:sz="0" w:space="0" w:color="auto"/>
                      </w:divBdr>
                    </w:div>
                  </w:divsChild>
                </w:div>
                <w:div w:id="163282881">
                  <w:marLeft w:val="0"/>
                  <w:marRight w:val="0"/>
                  <w:marTop w:val="0"/>
                  <w:marBottom w:val="0"/>
                  <w:divBdr>
                    <w:top w:val="none" w:sz="0" w:space="0" w:color="auto"/>
                    <w:left w:val="none" w:sz="0" w:space="0" w:color="auto"/>
                    <w:bottom w:val="none" w:sz="0" w:space="0" w:color="auto"/>
                    <w:right w:val="none" w:sz="0" w:space="0" w:color="auto"/>
                  </w:divBdr>
                  <w:divsChild>
                    <w:div w:id="65961436">
                      <w:marLeft w:val="0"/>
                      <w:marRight w:val="0"/>
                      <w:marTop w:val="0"/>
                      <w:marBottom w:val="0"/>
                      <w:divBdr>
                        <w:top w:val="none" w:sz="0" w:space="0" w:color="auto"/>
                        <w:left w:val="none" w:sz="0" w:space="0" w:color="auto"/>
                        <w:bottom w:val="none" w:sz="0" w:space="0" w:color="auto"/>
                        <w:right w:val="none" w:sz="0" w:space="0" w:color="auto"/>
                      </w:divBdr>
                    </w:div>
                  </w:divsChild>
                </w:div>
                <w:div w:id="165176981">
                  <w:marLeft w:val="0"/>
                  <w:marRight w:val="0"/>
                  <w:marTop w:val="0"/>
                  <w:marBottom w:val="0"/>
                  <w:divBdr>
                    <w:top w:val="none" w:sz="0" w:space="0" w:color="auto"/>
                    <w:left w:val="none" w:sz="0" w:space="0" w:color="auto"/>
                    <w:bottom w:val="none" w:sz="0" w:space="0" w:color="auto"/>
                    <w:right w:val="none" w:sz="0" w:space="0" w:color="auto"/>
                  </w:divBdr>
                  <w:divsChild>
                    <w:div w:id="741221192">
                      <w:marLeft w:val="0"/>
                      <w:marRight w:val="0"/>
                      <w:marTop w:val="0"/>
                      <w:marBottom w:val="0"/>
                      <w:divBdr>
                        <w:top w:val="none" w:sz="0" w:space="0" w:color="auto"/>
                        <w:left w:val="none" w:sz="0" w:space="0" w:color="auto"/>
                        <w:bottom w:val="none" w:sz="0" w:space="0" w:color="auto"/>
                        <w:right w:val="none" w:sz="0" w:space="0" w:color="auto"/>
                      </w:divBdr>
                    </w:div>
                  </w:divsChild>
                </w:div>
                <w:div w:id="188809413">
                  <w:marLeft w:val="0"/>
                  <w:marRight w:val="0"/>
                  <w:marTop w:val="0"/>
                  <w:marBottom w:val="0"/>
                  <w:divBdr>
                    <w:top w:val="none" w:sz="0" w:space="0" w:color="auto"/>
                    <w:left w:val="none" w:sz="0" w:space="0" w:color="auto"/>
                    <w:bottom w:val="none" w:sz="0" w:space="0" w:color="auto"/>
                    <w:right w:val="none" w:sz="0" w:space="0" w:color="auto"/>
                  </w:divBdr>
                  <w:divsChild>
                    <w:div w:id="1701979239">
                      <w:marLeft w:val="0"/>
                      <w:marRight w:val="0"/>
                      <w:marTop w:val="0"/>
                      <w:marBottom w:val="0"/>
                      <w:divBdr>
                        <w:top w:val="none" w:sz="0" w:space="0" w:color="auto"/>
                        <w:left w:val="none" w:sz="0" w:space="0" w:color="auto"/>
                        <w:bottom w:val="none" w:sz="0" w:space="0" w:color="auto"/>
                        <w:right w:val="none" w:sz="0" w:space="0" w:color="auto"/>
                      </w:divBdr>
                    </w:div>
                  </w:divsChild>
                </w:div>
                <w:div w:id="255675254">
                  <w:marLeft w:val="0"/>
                  <w:marRight w:val="0"/>
                  <w:marTop w:val="0"/>
                  <w:marBottom w:val="0"/>
                  <w:divBdr>
                    <w:top w:val="none" w:sz="0" w:space="0" w:color="auto"/>
                    <w:left w:val="none" w:sz="0" w:space="0" w:color="auto"/>
                    <w:bottom w:val="none" w:sz="0" w:space="0" w:color="auto"/>
                    <w:right w:val="none" w:sz="0" w:space="0" w:color="auto"/>
                  </w:divBdr>
                  <w:divsChild>
                    <w:div w:id="400754035">
                      <w:marLeft w:val="0"/>
                      <w:marRight w:val="0"/>
                      <w:marTop w:val="0"/>
                      <w:marBottom w:val="0"/>
                      <w:divBdr>
                        <w:top w:val="none" w:sz="0" w:space="0" w:color="auto"/>
                        <w:left w:val="none" w:sz="0" w:space="0" w:color="auto"/>
                        <w:bottom w:val="none" w:sz="0" w:space="0" w:color="auto"/>
                        <w:right w:val="none" w:sz="0" w:space="0" w:color="auto"/>
                      </w:divBdr>
                    </w:div>
                  </w:divsChild>
                </w:div>
                <w:div w:id="272251547">
                  <w:marLeft w:val="0"/>
                  <w:marRight w:val="0"/>
                  <w:marTop w:val="0"/>
                  <w:marBottom w:val="0"/>
                  <w:divBdr>
                    <w:top w:val="none" w:sz="0" w:space="0" w:color="auto"/>
                    <w:left w:val="none" w:sz="0" w:space="0" w:color="auto"/>
                    <w:bottom w:val="none" w:sz="0" w:space="0" w:color="auto"/>
                    <w:right w:val="none" w:sz="0" w:space="0" w:color="auto"/>
                  </w:divBdr>
                  <w:divsChild>
                    <w:div w:id="1740250725">
                      <w:marLeft w:val="0"/>
                      <w:marRight w:val="0"/>
                      <w:marTop w:val="0"/>
                      <w:marBottom w:val="0"/>
                      <w:divBdr>
                        <w:top w:val="none" w:sz="0" w:space="0" w:color="auto"/>
                        <w:left w:val="none" w:sz="0" w:space="0" w:color="auto"/>
                        <w:bottom w:val="none" w:sz="0" w:space="0" w:color="auto"/>
                        <w:right w:val="none" w:sz="0" w:space="0" w:color="auto"/>
                      </w:divBdr>
                    </w:div>
                  </w:divsChild>
                </w:div>
                <w:div w:id="289550800">
                  <w:marLeft w:val="0"/>
                  <w:marRight w:val="0"/>
                  <w:marTop w:val="0"/>
                  <w:marBottom w:val="0"/>
                  <w:divBdr>
                    <w:top w:val="none" w:sz="0" w:space="0" w:color="auto"/>
                    <w:left w:val="none" w:sz="0" w:space="0" w:color="auto"/>
                    <w:bottom w:val="none" w:sz="0" w:space="0" w:color="auto"/>
                    <w:right w:val="none" w:sz="0" w:space="0" w:color="auto"/>
                  </w:divBdr>
                  <w:divsChild>
                    <w:div w:id="1253051366">
                      <w:marLeft w:val="0"/>
                      <w:marRight w:val="0"/>
                      <w:marTop w:val="0"/>
                      <w:marBottom w:val="0"/>
                      <w:divBdr>
                        <w:top w:val="none" w:sz="0" w:space="0" w:color="auto"/>
                        <w:left w:val="none" w:sz="0" w:space="0" w:color="auto"/>
                        <w:bottom w:val="none" w:sz="0" w:space="0" w:color="auto"/>
                        <w:right w:val="none" w:sz="0" w:space="0" w:color="auto"/>
                      </w:divBdr>
                    </w:div>
                  </w:divsChild>
                </w:div>
                <w:div w:id="323163360">
                  <w:marLeft w:val="0"/>
                  <w:marRight w:val="0"/>
                  <w:marTop w:val="0"/>
                  <w:marBottom w:val="0"/>
                  <w:divBdr>
                    <w:top w:val="none" w:sz="0" w:space="0" w:color="auto"/>
                    <w:left w:val="none" w:sz="0" w:space="0" w:color="auto"/>
                    <w:bottom w:val="none" w:sz="0" w:space="0" w:color="auto"/>
                    <w:right w:val="none" w:sz="0" w:space="0" w:color="auto"/>
                  </w:divBdr>
                  <w:divsChild>
                    <w:div w:id="1825732346">
                      <w:marLeft w:val="0"/>
                      <w:marRight w:val="0"/>
                      <w:marTop w:val="0"/>
                      <w:marBottom w:val="0"/>
                      <w:divBdr>
                        <w:top w:val="none" w:sz="0" w:space="0" w:color="auto"/>
                        <w:left w:val="none" w:sz="0" w:space="0" w:color="auto"/>
                        <w:bottom w:val="none" w:sz="0" w:space="0" w:color="auto"/>
                        <w:right w:val="none" w:sz="0" w:space="0" w:color="auto"/>
                      </w:divBdr>
                    </w:div>
                  </w:divsChild>
                </w:div>
                <w:div w:id="335310302">
                  <w:marLeft w:val="0"/>
                  <w:marRight w:val="0"/>
                  <w:marTop w:val="0"/>
                  <w:marBottom w:val="0"/>
                  <w:divBdr>
                    <w:top w:val="none" w:sz="0" w:space="0" w:color="auto"/>
                    <w:left w:val="none" w:sz="0" w:space="0" w:color="auto"/>
                    <w:bottom w:val="none" w:sz="0" w:space="0" w:color="auto"/>
                    <w:right w:val="none" w:sz="0" w:space="0" w:color="auto"/>
                  </w:divBdr>
                  <w:divsChild>
                    <w:div w:id="926503398">
                      <w:marLeft w:val="0"/>
                      <w:marRight w:val="0"/>
                      <w:marTop w:val="0"/>
                      <w:marBottom w:val="0"/>
                      <w:divBdr>
                        <w:top w:val="none" w:sz="0" w:space="0" w:color="auto"/>
                        <w:left w:val="none" w:sz="0" w:space="0" w:color="auto"/>
                        <w:bottom w:val="none" w:sz="0" w:space="0" w:color="auto"/>
                        <w:right w:val="none" w:sz="0" w:space="0" w:color="auto"/>
                      </w:divBdr>
                    </w:div>
                  </w:divsChild>
                </w:div>
                <w:div w:id="395710136">
                  <w:marLeft w:val="0"/>
                  <w:marRight w:val="0"/>
                  <w:marTop w:val="0"/>
                  <w:marBottom w:val="0"/>
                  <w:divBdr>
                    <w:top w:val="none" w:sz="0" w:space="0" w:color="auto"/>
                    <w:left w:val="none" w:sz="0" w:space="0" w:color="auto"/>
                    <w:bottom w:val="none" w:sz="0" w:space="0" w:color="auto"/>
                    <w:right w:val="none" w:sz="0" w:space="0" w:color="auto"/>
                  </w:divBdr>
                  <w:divsChild>
                    <w:div w:id="938484218">
                      <w:marLeft w:val="0"/>
                      <w:marRight w:val="0"/>
                      <w:marTop w:val="0"/>
                      <w:marBottom w:val="0"/>
                      <w:divBdr>
                        <w:top w:val="none" w:sz="0" w:space="0" w:color="auto"/>
                        <w:left w:val="none" w:sz="0" w:space="0" w:color="auto"/>
                        <w:bottom w:val="none" w:sz="0" w:space="0" w:color="auto"/>
                        <w:right w:val="none" w:sz="0" w:space="0" w:color="auto"/>
                      </w:divBdr>
                    </w:div>
                  </w:divsChild>
                </w:div>
                <w:div w:id="599794706">
                  <w:marLeft w:val="0"/>
                  <w:marRight w:val="0"/>
                  <w:marTop w:val="0"/>
                  <w:marBottom w:val="0"/>
                  <w:divBdr>
                    <w:top w:val="none" w:sz="0" w:space="0" w:color="auto"/>
                    <w:left w:val="none" w:sz="0" w:space="0" w:color="auto"/>
                    <w:bottom w:val="none" w:sz="0" w:space="0" w:color="auto"/>
                    <w:right w:val="none" w:sz="0" w:space="0" w:color="auto"/>
                  </w:divBdr>
                  <w:divsChild>
                    <w:div w:id="93208671">
                      <w:marLeft w:val="0"/>
                      <w:marRight w:val="0"/>
                      <w:marTop w:val="0"/>
                      <w:marBottom w:val="0"/>
                      <w:divBdr>
                        <w:top w:val="none" w:sz="0" w:space="0" w:color="auto"/>
                        <w:left w:val="none" w:sz="0" w:space="0" w:color="auto"/>
                        <w:bottom w:val="none" w:sz="0" w:space="0" w:color="auto"/>
                        <w:right w:val="none" w:sz="0" w:space="0" w:color="auto"/>
                      </w:divBdr>
                    </w:div>
                  </w:divsChild>
                </w:div>
                <w:div w:id="606886815">
                  <w:marLeft w:val="0"/>
                  <w:marRight w:val="0"/>
                  <w:marTop w:val="0"/>
                  <w:marBottom w:val="0"/>
                  <w:divBdr>
                    <w:top w:val="none" w:sz="0" w:space="0" w:color="auto"/>
                    <w:left w:val="none" w:sz="0" w:space="0" w:color="auto"/>
                    <w:bottom w:val="none" w:sz="0" w:space="0" w:color="auto"/>
                    <w:right w:val="none" w:sz="0" w:space="0" w:color="auto"/>
                  </w:divBdr>
                  <w:divsChild>
                    <w:div w:id="855728806">
                      <w:marLeft w:val="0"/>
                      <w:marRight w:val="0"/>
                      <w:marTop w:val="0"/>
                      <w:marBottom w:val="0"/>
                      <w:divBdr>
                        <w:top w:val="none" w:sz="0" w:space="0" w:color="auto"/>
                        <w:left w:val="none" w:sz="0" w:space="0" w:color="auto"/>
                        <w:bottom w:val="none" w:sz="0" w:space="0" w:color="auto"/>
                        <w:right w:val="none" w:sz="0" w:space="0" w:color="auto"/>
                      </w:divBdr>
                    </w:div>
                  </w:divsChild>
                </w:div>
                <w:div w:id="635646093">
                  <w:marLeft w:val="0"/>
                  <w:marRight w:val="0"/>
                  <w:marTop w:val="0"/>
                  <w:marBottom w:val="0"/>
                  <w:divBdr>
                    <w:top w:val="none" w:sz="0" w:space="0" w:color="auto"/>
                    <w:left w:val="none" w:sz="0" w:space="0" w:color="auto"/>
                    <w:bottom w:val="none" w:sz="0" w:space="0" w:color="auto"/>
                    <w:right w:val="none" w:sz="0" w:space="0" w:color="auto"/>
                  </w:divBdr>
                  <w:divsChild>
                    <w:div w:id="1367288936">
                      <w:marLeft w:val="0"/>
                      <w:marRight w:val="0"/>
                      <w:marTop w:val="0"/>
                      <w:marBottom w:val="0"/>
                      <w:divBdr>
                        <w:top w:val="none" w:sz="0" w:space="0" w:color="auto"/>
                        <w:left w:val="none" w:sz="0" w:space="0" w:color="auto"/>
                        <w:bottom w:val="none" w:sz="0" w:space="0" w:color="auto"/>
                        <w:right w:val="none" w:sz="0" w:space="0" w:color="auto"/>
                      </w:divBdr>
                    </w:div>
                  </w:divsChild>
                </w:div>
                <w:div w:id="644966287">
                  <w:marLeft w:val="0"/>
                  <w:marRight w:val="0"/>
                  <w:marTop w:val="0"/>
                  <w:marBottom w:val="0"/>
                  <w:divBdr>
                    <w:top w:val="none" w:sz="0" w:space="0" w:color="auto"/>
                    <w:left w:val="none" w:sz="0" w:space="0" w:color="auto"/>
                    <w:bottom w:val="none" w:sz="0" w:space="0" w:color="auto"/>
                    <w:right w:val="none" w:sz="0" w:space="0" w:color="auto"/>
                  </w:divBdr>
                  <w:divsChild>
                    <w:div w:id="1918056072">
                      <w:marLeft w:val="0"/>
                      <w:marRight w:val="0"/>
                      <w:marTop w:val="0"/>
                      <w:marBottom w:val="0"/>
                      <w:divBdr>
                        <w:top w:val="none" w:sz="0" w:space="0" w:color="auto"/>
                        <w:left w:val="none" w:sz="0" w:space="0" w:color="auto"/>
                        <w:bottom w:val="none" w:sz="0" w:space="0" w:color="auto"/>
                        <w:right w:val="none" w:sz="0" w:space="0" w:color="auto"/>
                      </w:divBdr>
                    </w:div>
                  </w:divsChild>
                </w:div>
                <w:div w:id="659116405">
                  <w:marLeft w:val="0"/>
                  <w:marRight w:val="0"/>
                  <w:marTop w:val="0"/>
                  <w:marBottom w:val="0"/>
                  <w:divBdr>
                    <w:top w:val="none" w:sz="0" w:space="0" w:color="auto"/>
                    <w:left w:val="none" w:sz="0" w:space="0" w:color="auto"/>
                    <w:bottom w:val="none" w:sz="0" w:space="0" w:color="auto"/>
                    <w:right w:val="none" w:sz="0" w:space="0" w:color="auto"/>
                  </w:divBdr>
                  <w:divsChild>
                    <w:div w:id="1108623429">
                      <w:marLeft w:val="0"/>
                      <w:marRight w:val="0"/>
                      <w:marTop w:val="0"/>
                      <w:marBottom w:val="0"/>
                      <w:divBdr>
                        <w:top w:val="none" w:sz="0" w:space="0" w:color="auto"/>
                        <w:left w:val="none" w:sz="0" w:space="0" w:color="auto"/>
                        <w:bottom w:val="none" w:sz="0" w:space="0" w:color="auto"/>
                        <w:right w:val="none" w:sz="0" w:space="0" w:color="auto"/>
                      </w:divBdr>
                    </w:div>
                  </w:divsChild>
                </w:div>
                <w:div w:id="671875455">
                  <w:marLeft w:val="0"/>
                  <w:marRight w:val="0"/>
                  <w:marTop w:val="0"/>
                  <w:marBottom w:val="0"/>
                  <w:divBdr>
                    <w:top w:val="none" w:sz="0" w:space="0" w:color="auto"/>
                    <w:left w:val="none" w:sz="0" w:space="0" w:color="auto"/>
                    <w:bottom w:val="none" w:sz="0" w:space="0" w:color="auto"/>
                    <w:right w:val="none" w:sz="0" w:space="0" w:color="auto"/>
                  </w:divBdr>
                  <w:divsChild>
                    <w:div w:id="1996759707">
                      <w:marLeft w:val="0"/>
                      <w:marRight w:val="0"/>
                      <w:marTop w:val="0"/>
                      <w:marBottom w:val="0"/>
                      <w:divBdr>
                        <w:top w:val="none" w:sz="0" w:space="0" w:color="auto"/>
                        <w:left w:val="none" w:sz="0" w:space="0" w:color="auto"/>
                        <w:bottom w:val="none" w:sz="0" w:space="0" w:color="auto"/>
                        <w:right w:val="none" w:sz="0" w:space="0" w:color="auto"/>
                      </w:divBdr>
                    </w:div>
                  </w:divsChild>
                </w:div>
                <w:div w:id="769857226">
                  <w:marLeft w:val="0"/>
                  <w:marRight w:val="0"/>
                  <w:marTop w:val="0"/>
                  <w:marBottom w:val="0"/>
                  <w:divBdr>
                    <w:top w:val="none" w:sz="0" w:space="0" w:color="auto"/>
                    <w:left w:val="none" w:sz="0" w:space="0" w:color="auto"/>
                    <w:bottom w:val="none" w:sz="0" w:space="0" w:color="auto"/>
                    <w:right w:val="none" w:sz="0" w:space="0" w:color="auto"/>
                  </w:divBdr>
                  <w:divsChild>
                    <w:div w:id="1216234645">
                      <w:marLeft w:val="0"/>
                      <w:marRight w:val="0"/>
                      <w:marTop w:val="0"/>
                      <w:marBottom w:val="0"/>
                      <w:divBdr>
                        <w:top w:val="none" w:sz="0" w:space="0" w:color="auto"/>
                        <w:left w:val="none" w:sz="0" w:space="0" w:color="auto"/>
                        <w:bottom w:val="none" w:sz="0" w:space="0" w:color="auto"/>
                        <w:right w:val="none" w:sz="0" w:space="0" w:color="auto"/>
                      </w:divBdr>
                    </w:div>
                  </w:divsChild>
                </w:div>
                <w:div w:id="798183487">
                  <w:marLeft w:val="0"/>
                  <w:marRight w:val="0"/>
                  <w:marTop w:val="0"/>
                  <w:marBottom w:val="0"/>
                  <w:divBdr>
                    <w:top w:val="none" w:sz="0" w:space="0" w:color="auto"/>
                    <w:left w:val="none" w:sz="0" w:space="0" w:color="auto"/>
                    <w:bottom w:val="none" w:sz="0" w:space="0" w:color="auto"/>
                    <w:right w:val="none" w:sz="0" w:space="0" w:color="auto"/>
                  </w:divBdr>
                  <w:divsChild>
                    <w:div w:id="626010266">
                      <w:marLeft w:val="0"/>
                      <w:marRight w:val="0"/>
                      <w:marTop w:val="0"/>
                      <w:marBottom w:val="0"/>
                      <w:divBdr>
                        <w:top w:val="none" w:sz="0" w:space="0" w:color="auto"/>
                        <w:left w:val="none" w:sz="0" w:space="0" w:color="auto"/>
                        <w:bottom w:val="none" w:sz="0" w:space="0" w:color="auto"/>
                        <w:right w:val="none" w:sz="0" w:space="0" w:color="auto"/>
                      </w:divBdr>
                    </w:div>
                  </w:divsChild>
                </w:div>
                <w:div w:id="823743687">
                  <w:marLeft w:val="0"/>
                  <w:marRight w:val="0"/>
                  <w:marTop w:val="0"/>
                  <w:marBottom w:val="0"/>
                  <w:divBdr>
                    <w:top w:val="none" w:sz="0" w:space="0" w:color="auto"/>
                    <w:left w:val="none" w:sz="0" w:space="0" w:color="auto"/>
                    <w:bottom w:val="none" w:sz="0" w:space="0" w:color="auto"/>
                    <w:right w:val="none" w:sz="0" w:space="0" w:color="auto"/>
                  </w:divBdr>
                  <w:divsChild>
                    <w:div w:id="1081751894">
                      <w:marLeft w:val="0"/>
                      <w:marRight w:val="0"/>
                      <w:marTop w:val="0"/>
                      <w:marBottom w:val="0"/>
                      <w:divBdr>
                        <w:top w:val="none" w:sz="0" w:space="0" w:color="auto"/>
                        <w:left w:val="none" w:sz="0" w:space="0" w:color="auto"/>
                        <w:bottom w:val="none" w:sz="0" w:space="0" w:color="auto"/>
                        <w:right w:val="none" w:sz="0" w:space="0" w:color="auto"/>
                      </w:divBdr>
                    </w:div>
                  </w:divsChild>
                </w:div>
                <w:div w:id="882905132">
                  <w:marLeft w:val="0"/>
                  <w:marRight w:val="0"/>
                  <w:marTop w:val="0"/>
                  <w:marBottom w:val="0"/>
                  <w:divBdr>
                    <w:top w:val="none" w:sz="0" w:space="0" w:color="auto"/>
                    <w:left w:val="none" w:sz="0" w:space="0" w:color="auto"/>
                    <w:bottom w:val="none" w:sz="0" w:space="0" w:color="auto"/>
                    <w:right w:val="none" w:sz="0" w:space="0" w:color="auto"/>
                  </w:divBdr>
                  <w:divsChild>
                    <w:div w:id="424612349">
                      <w:marLeft w:val="0"/>
                      <w:marRight w:val="0"/>
                      <w:marTop w:val="0"/>
                      <w:marBottom w:val="0"/>
                      <w:divBdr>
                        <w:top w:val="none" w:sz="0" w:space="0" w:color="auto"/>
                        <w:left w:val="none" w:sz="0" w:space="0" w:color="auto"/>
                        <w:bottom w:val="none" w:sz="0" w:space="0" w:color="auto"/>
                        <w:right w:val="none" w:sz="0" w:space="0" w:color="auto"/>
                      </w:divBdr>
                    </w:div>
                  </w:divsChild>
                </w:div>
                <w:div w:id="926117882">
                  <w:marLeft w:val="0"/>
                  <w:marRight w:val="0"/>
                  <w:marTop w:val="0"/>
                  <w:marBottom w:val="0"/>
                  <w:divBdr>
                    <w:top w:val="none" w:sz="0" w:space="0" w:color="auto"/>
                    <w:left w:val="none" w:sz="0" w:space="0" w:color="auto"/>
                    <w:bottom w:val="none" w:sz="0" w:space="0" w:color="auto"/>
                    <w:right w:val="none" w:sz="0" w:space="0" w:color="auto"/>
                  </w:divBdr>
                  <w:divsChild>
                    <w:div w:id="1922059174">
                      <w:marLeft w:val="0"/>
                      <w:marRight w:val="0"/>
                      <w:marTop w:val="0"/>
                      <w:marBottom w:val="0"/>
                      <w:divBdr>
                        <w:top w:val="none" w:sz="0" w:space="0" w:color="auto"/>
                        <w:left w:val="none" w:sz="0" w:space="0" w:color="auto"/>
                        <w:bottom w:val="none" w:sz="0" w:space="0" w:color="auto"/>
                        <w:right w:val="none" w:sz="0" w:space="0" w:color="auto"/>
                      </w:divBdr>
                    </w:div>
                  </w:divsChild>
                </w:div>
                <w:div w:id="952709902">
                  <w:marLeft w:val="0"/>
                  <w:marRight w:val="0"/>
                  <w:marTop w:val="0"/>
                  <w:marBottom w:val="0"/>
                  <w:divBdr>
                    <w:top w:val="none" w:sz="0" w:space="0" w:color="auto"/>
                    <w:left w:val="none" w:sz="0" w:space="0" w:color="auto"/>
                    <w:bottom w:val="none" w:sz="0" w:space="0" w:color="auto"/>
                    <w:right w:val="none" w:sz="0" w:space="0" w:color="auto"/>
                  </w:divBdr>
                  <w:divsChild>
                    <w:div w:id="1534535397">
                      <w:marLeft w:val="0"/>
                      <w:marRight w:val="0"/>
                      <w:marTop w:val="0"/>
                      <w:marBottom w:val="0"/>
                      <w:divBdr>
                        <w:top w:val="none" w:sz="0" w:space="0" w:color="auto"/>
                        <w:left w:val="none" w:sz="0" w:space="0" w:color="auto"/>
                        <w:bottom w:val="none" w:sz="0" w:space="0" w:color="auto"/>
                        <w:right w:val="none" w:sz="0" w:space="0" w:color="auto"/>
                      </w:divBdr>
                    </w:div>
                  </w:divsChild>
                </w:div>
                <w:div w:id="980576122">
                  <w:marLeft w:val="0"/>
                  <w:marRight w:val="0"/>
                  <w:marTop w:val="0"/>
                  <w:marBottom w:val="0"/>
                  <w:divBdr>
                    <w:top w:val="none" w:sz="0" w:space="0" w:color="auto"/>
                    <w:left w:val="none" w:sz="0" w:space="0" w:color="auto"/>
                    <w:bottom w:val="none" w:sz="0" w:space="0" w:color="auto"/>
                    <w:right w:val="none" w:sz="0" w:space="0" w:color="auto"/>
                  </w:divBdr>
                  <w:divsChild>
                    <w:div w:id="274677679">
                      <w:marLeft w:val="0"/>
                      <w:marRight w:val="0"/>
                      <w:marTop w:val="0"/>
                      <w:marBottom w:val="0"/>
                      <w:divBdr>
                        <w:top w:val="none" w:sz="0" w:space="0" w:color="auto"/>
                        <w:left w:val="none" w:sz="0" w:space="0" w:color="auto"/>
                        <w:bottom w:val="none" w:sz="0" w:space="0" w:color="auto"/>
                        <w:right w:val="none" w:sz="0" w:space="0" w:color="auto"/>
                      </w:divBdr>
                    </w:div>
                  </w:divsChild>
                </w:div>
                <w:div w:id="993530993">
                  <w:marLeft w:val="0"/>
                  <w:marRight w:val="0"/>
                  <w:marTop w:val="0"/>
                  <w:marBottom w:val="0"/>
                  <w:divBdr>
                    <w:top w:val="none" w:sz="0" w:space="0" w:color="auto"/>
                    <w:left w:val="none" w:sz="0" w:space="0" w:color="auto"/>
                    <w:bottom w:val="none" w:sz="0" w:space="0" w:color="auto"/>
                    <w:right w:val="none" w:sz="0" w:space="0" w:color="auto"/>
                  </w:divBdr>
                  <w:divsChild>
                    <w:div w:id="653870690">
                      <w:marLeft w:val="0"/>
                      <w:marRight w:val="0"/>
                      <w:marTop w:val="0"/>
                      <w:marBottom w:val="0"/>
                      <w:divBdr>
                        <w:top w:val="none" w:sz="0" w:space="0" w:color="auto"/>
                        <w:left w:val="none" w:sz="0" w:space="0" w:color="auto"/>
                        <w:bottom w:val="none" w:sz="0" w:space="0" w:color="auto"/>
                        <w:right w:val="none" w:sz="0" w:space="0" w:color="auto"/>
                      </w:divBdr>
                    </w:div>
                  </w:divsChild>
                </w:div>
                <w:div w:id="1072629025">
                  <w:marLeft w:val="0"/>
                  <w:marRight w:val="0"/>
                  <w:marTop w:val="0"/>
                  <w:marBottom w:val="0"/>
                  <w:divBdr>
                    <w:top w:val="none" w:sz="0" w:space="0" w:color="auto"/>
                    <w:left w:val="none" w:sz="0" w:space="0" w:color="auto"/>
                    <w:bottom w:val="none" w:sz="0" w:space="0" w:color="auto"/>
                    <w:right w:val="none" w:sz="0" w:space="0" w:color="auto"/>
                  </w:divBdr>
                  <w:divsChild>
                    <w:div w:id="1642929799">
                      <w:marLeft w:val="0"/>
                      <w:marRight w:val="0"/>
                      <w:marTop w:val="0"/>
                      <w:marBottom w:val="0"/>
                      <w:divBdr>
                        <w:top w:val="none" w:sz="0" w:space="0" w:color="auto"/>
                        <w:left w:val="none" w:sz="0" w:space="0" w:color="auto"/>
                        <w:bottom w:val="none" w:sz="0" w:space="0" w:color="auto"/>
                        <w:right w:val="none" w:sz="0" w:space="0" w:color="auto"/>
                      </w:divBdr>
                    </w:div>
                  </w:divsChild>
                </w:div>
                <w:div w:id="1113860224">
                  <w:marLeft w:val="0"/>
                  <w:marRight w:val="0"/>
                  <w:marTop w:val="0"/>
                  <w:marBottom w:val="0"/>
                  <w:divBdr>
                    <w:top w:val="none" w:sz="0" w:space="0" w:color="auto"/>
                    <w:left w:val="none" w:sz="0" w:space="0" w:color="auto"/>
                    <w:bottom w:val="none" w:sz="0" w:space="0" w:color="auto"/>
                    <w:right w:val="none" w:sz="0" w:space="0" w:color="auto"/>
                  </w:divBdr>
                  <w:divsChild>
                    <w:div w:id="817573556">
                      <w:marLeft w:val="0"/>
                      <w:marRight w:val="0"/>
                      <w:marTop w:val="0"/>
                      <w:marBottom w:val="0"/>
                      <w:divBdr>
                        <w:top w:val="none" w:sz="0" w:space="0" w:color="auto"/>
                        <w:left w:val="none" w:sz="0" w:space="0" w:color="auto"/>
                        <w:bottom w:val="none" w:sz="0" w:space="0" w:color="auto"/>
                        <w:right w:val="none" w:sz="0" w:space="0" w:color="auto"/>
                      </w:divBdr>
                    </w:div>
                  </w:divsChild>
                </w:div>
                <w:div w:id="1125193731">
                  <w:marLeft w:val="0"/>
                  <w:marRight w:val="0"/>
                  <w:marTop w:val="0"/>
                  <w:marBottom w:val="0"/>
                  <w:divBdr>
                    <w:top w:val="none" w:sz="0" w:space="0" w:color="auto"/>
                    <w:left w:val="none" w:sz="0" w:space="0" w:color="auto"/>
                    <w:bottom w:val="none" w:sz="0" w:space="0" w:color="auto"/>
                    <w:right w:val="none" w:sz="0" w:space="0" w:color="auto"/>
                  </w:divBdr>
                  <w:divsChild>
                    <w:div w:id="410204389">
                      <w:marLeft w:val="0"/>
                      <w:marRight w:val="0"/>
                      <w:marTop w:val="0"/>
                      <w:marBottom w:val="0"/>
                      <w:divBdr>
                        <w:top w:val="none" w:sz="0" w:space="0" w:color="auto"/>
                        <w:left w:val="none" w:sz="0" w:space="0" w:color="auto"/>
                        <w:bottom w:val="none" w:sz="0" w:space="0" w:color="auto"/>
                        <w:right w:val="none" w:sz="0" w:space="0" w:color="auto"/>
                      </w:divBdr>
                    </w:div>
                  </w:divsChild>
                </w:div>
                <w:div w:id="1128164434">
                  <w:marLeft w:val="0"/>
                  <w:marRight w:val="0"/>
                  <w:marTop w:val="0"/>
                  <w:marBottom w:val="0"/>
                  <w:divBdr>
                    <w:top w:val="none" w:sz="0" w:space="0" w:color="auto"/>
                    <w:left w:val="none" w:sz="0" w:space="0" w:color="auto"/>
                    <w:bottom w:val="none" w:sz="0" w:space="0" w:color="auto"/>
                    <w:right w:val="none" w:sz="0" w:space="0" w:color="auto"/>
                  </w:divBdr>
                  <w:divsChild>
                    <w:div w:id="1026558044">
                      <w:marLeft w:val="0"/>
                      <w:marRight w:val="0"/>
                      <w:marTop w:val="0"/>
                      <w:marBottom w:val="0"/>
                      <w:divBdr>
                        <w:top w:val="none" w:sz="0" w:space="0" w:color="auto"/>
                        <w:left w:val="none" w:sz="0" w:space="0" w:color="auto"/>
                        <w:bottom w:val="none" w:sz="0" w:space="0" w:color="auto"/>
                        <w:right w:val="none" w:sz="0" w:space="0" w:color="auto"/>
                      </w:divBdr>
                    </w:div>
                  </w:divsChild>
                </w:div>
                <w:div w:id="1142698718">
                  <w:marLeft w:val="0"/>
                  <w:marRight w:val="0"/>
                  <w:marTop w:val="0"/>
                  <w:marBottom w:val="0"/>
                  <w:divBdr>
                    <w:top w:val="none" w:sz="0" w:space="0" w:color="auto"/>
                    <w:left w:val="none" w:sz="0" w:space="0" w:color="auto"/>
                    <w:bottom w:val="none" w:sz="0" w:space="0" w:color="auto"/>
                    <w:right w:val="none" w:sz="0" w:space="0" w:color="auto"/>
                  </w:divBdr>
                  <w:divsChild>
                    <w:div w:id="429467806">
                      <w:marLeft w:val="0"/>
                      <w:marRight w:val="0"/>
                      <w:marTop w:val="0"/>
                      <w:marBottom w:val="0"/>
                      <w:divBdr>
                        <w:top w:val="none" w:sz="0" w:space="0" w:color="auto"/>
                        <w:left w:val="none" w:sz="0" w:space="0" w:color="auto"/>
                        <w:bottom w:val="none" w:sz="0" w:space="0" w:color="auto"/>
                        <w:right w:val="none" w:sz="0" w:space="0" w:color="auto"/>
                      </w:divBdr>
                    </w:div>
                  </w:divsChild>
                </w:div>
                <w:div w:id="1326595116">
                  <w:marLeft w:val="0"/>
                  <w:marRight w:val="0"/>
                  <w:marTop w:val="0"/>
                  <w:marBottom w:val="0"/>
                  <w:divBdr>
                    <w:top w:val="none" w:sz="0" w:space="0" w:color="auto"/>
                    <w:left w:val="none" w:sz="0" w:space="0" w:color="auto"/>
                    <w:bottom w:val="none" w:sz="0" w:space="0" w:color="auto"/>
                    <w:right w:val="none" w:sz="0" w:space="0" w:color="auto"/>
                  </w:divBdr>
                  <w:divsChild>
                    <w:div w:id="928662191">
                      <w:marLeft w:val="0"/>
                      <w:marRight w:val="0"/>
                      <w:marTop w:val="0"/>
                      <w:marBottom w:val="0"/>
                      <w:divBdr>
                        <w:top w:val="none" w:sz="0" w:space="0" w:color="auto"/>
                        <w:left w:val="none" w:sz="0" w:space="0" w:color="auto"/>
                        <w:bottom w:val="none" w:sz="0" w:space="0" w:color="auto"/>
                        <w:right w:val="none" w:sz="0" w:space="0" w:color="auto"/>
                      </w:divBdr>
                    </w:div>
                  </w:divsChild>
                </w:div>
                <w:div w:id="1488473481">
                  <w:marLeft w:val="0"/>
                  <w:marRight w:val="0"/>
                  <w:marTop w:val="0"/>
                  <w:marBottom w:val="0"/>
                  <w:divBdr>
                    <w:top w:val="none" w:sz="0" w:space="0" w:color="auto"/>
                    <w:left w:val="none" w:sz="0" w:space="0" w:color="auto"/>
                    <w:bottom w:val="none" w:sz="0" w:space="0" w:color="auto"/>
                    <w:right w:val="none" w:sz="0" w:space="0" w:color="auto"/>
                  </w:divBdr>
                  <w:divsChild>
                    <w:div w:id="2019649075">
                      <w:marLeft w:val="0"/>
                      <w:marRight w:val="0"/>
                      <w:marTop w:val="0"/>
                      <w:marBottom w:val="0"/>
                      <w:divBdr>
                        <w:top w:val="none" w:sz="0" w:space="0" w:color="auto"/>
                        <w:left w:val="none" w:sz="0" w:space="0" w:color="auto"/>
                        <w:bottom w:val="none" w:sz="0" w:space="0" w:color="auto"/>
                        <w:right w:val="none" w:sz="0" w:space="0" w:color="auto"/>
                      </w:divBdr>
                    </w:div>
                  </w:divsChild>
                </w:div>
                <w:div w:id="1495490051">
                  <w:marLeft w:val="0"/>
                  <w:marRight w:val="0"/>
                  <w:marTop w:val="0"/>
                  <w:marBottom w:val="0"/>
                  <w:divBdr>
                    <w:top w:val="none" w:sz="0" w:space="0" w:color="auto"/>
                    <w:left w:val="none" w:sz="0" w:space="0" w:color="auto"/>
                    <w:bottom w:val="none" w:sz="0" w:space="0" w:color="auto"/>
                    <w:right w:val="none" w:sz="0" w:space="0" w:color="auto"/>
                  </w:divBdr>
                  <w:divsChild>
                    <w:div w:id="1468164042">
                      <w:marLeft w:val="0"/>
                      <w:marRight w:val="0"/>
                      <w:marTop w:val="0"/>
                      <w:marBottom w:val="0"/>
                      <w:divBdr>
                        <w:top w:val="none" w:sz="0" w:space="0" w:color="auto"/>
                        <w:left w:val="none" w:sz="0" w:space="0" w:color="auto"/>
                        <w:bottom w:val="none" w:sz="0" w:space="0" w:color="auto"/>
                        <w:right w:val="none" w:sz="0" w:space="0" w:color="auto"/>
                      </w:divBdr>
                    </w:div>
                  </w:divsChild>
                </w:div>
                <w:div w:id="1535851875">
                  <w:marLeft w:val="0"/>
                  <w:marRight w:val="0"/>
                  <w:marTop w:val="0"/>
                  <w:marBottom w:val="0"/>
                  <w:divBdr>
                    <w:top w:val="none" w:sz="0" w:space="0" w:color="auto"/>
                    <w:left w:val="none" w:sz="0" w:space="0" w:color="auto"/>
                    <w:bottom w:val="none" w:sz="0" w:space="0" w:color="auto"/>
                    <w:right w:val="none" w:sz="0" w:space="0" w:color="auto"/>
                  </w:divBdr>
                  <w:divsChild>
                    <w:div w:id="381683968">
                      <w:marLeft w:val="0"/>
                      <w:marRight w:val="0"/>
                      <w:marTop w:val="0"/>
                      <w:marBottom w:val="0"/>
                      <w:divBdr>
                        <w:top w:val="none" w:sz="0" w:space="0" w:color="auto"/>
                        <w:left w:val="none" w:sz="0" w:space="0" w:color="auto"/>
                        <w:bottom w:val="none" w:sz="0" w:space="0" w:color="auto"/>
                        <w:right w:val="none" w:sz="0" w:space="0" w:color="auto"/>
                      </w:divBdr>
                    </w:div>
                  </w:divsChild>
                </w:div>
                <w:div w:id="1563830766">
                  <w:marLeft w:val="0"/>
                  <w:marRight w:val="0"/>
                  <w:marTop w:val="0"/>
                  <w:marBottom w:val="0"/>
                  <w:divBdr>
                    <w:top w:val="none" w:sz="0" w:space="0" w:color="auto"/>
                    <w:left w:val="none" w:sz="0" w:space="0" w:color="auto"/>
                    <w:bottom w:val="none" w:sz="0" w:space="0" w:color="auto"/>
                    <w:right w:val="none" w:sz="0" w:space="0" w:color="auto"/>
                  </w:divBdr>
                  <w:divsChild>
                    <w:div w:id="1894736492">
                      <w:marLeft w:val="0"/>
                      <w:marRight w:val="0"/>
                      <w:marTop w:val="0"/>
                      <w:marBottom w:val="0"/>
                      <w:divBdr>
                        <w:top w:val="none" w:sz="0" w:space="0" w:color="auto"/>
                        <w:left w:val="none" w:sz="0" w:space="0" w:color="auto"/>
                        <w:bottom w:val="none" w:sz="0" w:space="0" w:color="auto"/>
                        <w:right w:val="none" w:sz="0" w:space="0" w:color="auto"/>
                      </w:divBdr>
                    </w:div>
                  </w:divsChild>
                </w:div>
                <w:div w:id="1569464376">
                  <w:marLeft w:val="0"/>
                  <w:marRight w:val="0"/>
                  <w:marTop w:val="0"/>
                  <w:marBottom w:val="0"/>
                  <w:divBdr>
                    <w:top w:val="none" w:sz="0" w:space="0" w:color="auto"/>
                    <w:left w:val="none" w:sz="0" w:space="0" w:color="auto"/>
                    <w:bottom w:val="none" w:sz="0" w:space="0" w:color="auto"/>
                    <w:right w:val="none" w:sz="0" w:space="0" w:color="auto"/>
                  </w:divBdr>
                  <w:divsChild>
                    <w:div w:id="1865316196">
                      <w:marLeft w:val="0"/>
                      <w:marRight w:val="0"/>
                      <w:marTop w:val="0"/>
                      <w:marBottom w:val="0"/>
                      <w:divBdr>
                        <w:top w:val="none" w:sz="0" w:space="0" w:color="auto"/>
                        <w:left w:val="none" w:sz="0" w:space="0" w:color="auto"/>
                        <w:bottom w:val="none" w:sz="0" w:space="0" w:color="auto"/>
                        <w:right w:val="none" w:sz="0" w:space="0" w:color="auto"/>
                      </w:divBdr>
                    </w:div>
                  </w:divsChild>
                </w:div>
                <w:div w:id="1573538043">
                  <w:marLeft w:val="0"/>
                  <w:marRight w:val="0"/>
                  <w:marTop w:val="0"/>
                  <w:marBottom w:val="0"/>
                  <w:divBdr>
                    <w:top w:val="none" w:sz="0" w:space="0" w:color="auto"/>
                    <w:left w:val="none" w:sz="0" w:space="0" w:color="auto"/>
                    <w:bottom w:val="none" w:sz="0" w:space="0" w:color="auto"/>
                    <w:right w:val="none" w:sz="0" w:space="0" w:color="auto"/>
                  </w:divBdr>
                  <w:divsChild>
                    <w:div w:id="594939977">
                      <w:marLeft w:val="0"/>
                      <w:marRight w:val="0"/>
                      <w:marTop w:val="0"/>
                      <w:marBottom w:val="0"/>
                      <w:divBdr>
                        <w:top w:val="none" w:sz="0" w:space="0" w:color="auto"/>
                        <w:left w:val="none" w:sz="0" w:space="0" w:color="auto"/>
                        <w:bottom w:val="none" w:sz="0" w:space="0" w:color="auto"/>
                        <w:right w:val="none" w:sz="0" w:space="0" w:color="auto"/>
                      </w:divBdr>
                    </w:div>
                  </w:divsChild>
                </w:div>
                <w:div w:id="1653369359">
                  <w:marLeft w:val="0"/>
                  <w:marRight w:val="0"/>
                  <w:marTop w:val="0"/>
                  <w:marBottom w:val="0"/>
                  <w:divBdr>
                    <w:top w:val="none" w:sz="0" w:space="0" w:color="auto"/>
                    <w:left w:val="none" w:sz="0" w:space="0" w:color="auto"/>
                    <w:bottom w:val="none" w:sz="0" w:space="0" w:color="auto"/>
                    <w:right w:val="none" w:sz="0" w:space="0" w:color="auto"/>
                  </w:divBdr>
                  <w:divsChild>
                    <w:div w:id="1024333211">
                      <w:marLeft w:val="0"/>
                      <w:marRight w:val="0"/>
                      <w:marTop w:val="0"/>
                      <w:marBottom w:val="0"/>
                      <w:divBdr>
                        <w:top w:val="none" w:sz="0" w:space="0" w:color="auto"/>
                        <w:left w:val="none" w:sz="0" w:space="0" w:color="auto"/>
                        <w:bottom w:val="none" w:sz="0" w:space="0" w:color="auto"/>
                        <w:right w:val="none" w:sz="0" w:space="0" w:color="auto"/>
                      </w:divBdr>
                    </w:div>
                  </w:divsChild>
                </w:div>
                <w:div w:id="1854224231">
                  <w:marLeft w:val="0"/>
                  <w:marRight w:val="0"/>
                  <w:marTop w:val="0"/>
                  <w:marBottom w:val="0"/>
                  <w:divBdr>
                    <w:top w:val="none" w:sz="0" w:space="0" w:color="auto"/>
                    <w:left w:val="none" w:sz="0" w:space="0" w:color="auto"/>
                    <w:bottom w:val="none" w:sz="0" w:space="0" w:color="auto"/>
                    <w:right w:val="none" w:sz="0" w:space="0" w:color="auto"/>
                  </w:divBdr>
                  <w:divsChild>
                    <w:div w:id="1720324056">
                      <w:marLeft w:val="0"/>
                      <w:marRight w:val="0"/>
                      <w:marTop w:val="0"/>
                      <w:marBottom w:val="0"/>
                      <w:divBdr>
                        <w:top w:val="none" w:sz="0" w:space="0" w:color="auto"/>
                        <w:left w:val="none" w:sz="0" w:space="0" w:color="auto"/>
                        <w:bottom w:val="none" w:sz="0" w:space="0" w:color="auto"/>
                        <w:right w:val="none" w:sz="0" w:space="0" w:color="auto"/>
                      </w:divBdr>
                    </w:div>
                  </w:divsChild>
                </w:div>
                <w:div w:id="1919900316">
                  <w:marLeft w:val="0"/>
                  <w:marRight w:val="0"/>
                  <w:marTop w:val="0"/>
                  <w:marBottom w:val="0"/>
                  <w:divBdr>
                    <w:top w:val="none" w:sz="0" w:space="0" w:color="auto"/>
                    <w:left w:val="none" w:sz="0" w:space="0" w:color="auto"/>
                    <w:bottom w:val="none" w:sz="0" w:space="0" w:color="auto"/>
                    <w:right w:val="none" w:sz="0" w:space="0" w:color="auto"/>
                  </w:divBdr>
                  <w:divsChild>
                    <w:div w:id="260065755">
                      <w:marLeft w:val="0"/>
                      <w:marRight w:val="0"/>
                      <w:marTop w:val="0"/>
                      <w:marBottom w:val="0"/>
                      <w:divBdr>
                        <w:top w:val="none" w:sz="0" w:space="0" w:color="auto"/>
                        <w:left w:val="none" w:sz="0" w:space="0" w:color="auto"/>
                        <w:bottom w:val="none" w:sz="0" w:space="0" w:color="auto"/>
                        <w:right w:val="none" w:sz="0" w:space="0" w:color="auto"/>
                      </w:divBdr>
                    </w:div>
                  </w:divsChild>
                </w:div>
                <w:div w:id="1942644204">
                  <w:marLeft w:val="0"/>
                  <w:marRight w:val="0"/>
                  <w:marTop w:val="0"/>
                  <w:marBottom w:val="0"/>
                  <w:divBdr>
                    <w:top w:val="none" w:sz="0" w:space="0" w:color="auto"/>
                    <w:left w:val="none" w:sz="0" w:space="0" w:color="auto"/>
                    <w:bottom w:val="none" w:sz="0" w:space="0" w:color="auto"/>
                    <w:right w:val="none" w:sz="0" w:space="0" w:color="auto"/>
                  </w:divBdr>
                  <w:divsChild>
                    <w:div w:id="305555273">
                      <w:marLeft w:val="0"/>
                      <w:marRight w:val="0"/>
                      <w:marTop w:val="0"/>
                      <w:marBottom w:val="0"/>
                      <w:divBdr>
                        <w:top w:val="none" w:sz="0" w:space="0" w:color="auto"/>
                        <w:left w:val="none" w:sz="0" w:space="0" w:color="auto"/>
                        <w:bottom w:val="none" w:sz="0" w:space="0" w:color="auto"/>
                        <w:right w:val="none" w:sz="0" w:space="0" w:color="auto"/>
                      </w:divBdr>
                    </w:div>
                  </w:divsChild>
                </w:div>
                <w:div w:id="1963462905">
                  <w:marLeft w:val="0"/>
                  <w:marRight w:val="0"/>
                  <w:marTop w:val="0"/>
                  <w:marBottom w:val="0"/>
                  <w:divBdr>
                    <w:top w:val="none" w:sz="0" w:space="0" w:color="auto"/>
                    <w:left w:val="none" w:sz="0" w:space="0" w:color="auto"/>
                    <w:bottom w:val="none" w:sz="0" w:space="0" w:color="auto"/>
                    <w:right w:val="none" w:sz="0" w:space="0" w:color="auto"/>
                  </w:divBdr>
                  <w:divsChild>
                    <w:div w:id="276302154">
                      <w:marLeft w:val="0"/>
                      <w:marRight w:val="0"/>
                      <w:marTop w:val="0"/>
                      <w:marBottom w:val="0"/>
                      <w:divBdr>
                        <w:top w:val="none" w:sz="0" w:space="0" w:color="auto"/>
                        <w:left w:val="none" w:sz="0" w:space="0" w:color="auto"/>
                        <w:bottom w:val="none" w:sz="0" w:space="0" w:color="auto"/>
                        <w:right w:val="none" w:sz="0" w:space="0" w:color="auto"/>
                      </w:divBdr>
                    </w:div>
                  </w:divsChild>
                </w:div>
                <w:div w:id="1998997814">
                  <w:marLeft w:val="0"/>
                  <w:marRight w:val="0"/>
                  <w:marTop w:val="0"/>
                  <w:marBottom w:val="0"/>
                  <w:divBdr>
                    <w:top w:val="none" w:sz="0" w:space="0" w:color="auto"/>
                    <w:left w:val="none" w:sz="0" w:space="0" w:color="auto"/>
                    <w:bottom w:val="none" w:sz="0" w:space="0" w:color="auto"/>
                    <w:right w:val="none" w:sz="0" w:space="0" w:color="auto"/>
                  </w:divBdr>
                  <w:divsChild>
                    <w:div w:id="1029647086">
                      <w:marLeft w:val="0"/>
                      <w:marRight w:val="0"/>
                      <w:marTop w:val="0"/>
                      <w:marBottom w:val="0"/>
                      <w:divBdr>
                        <w:top w:val="none" w:sz="0" w:space="0" w:color="auto"/>
                        <w:left w:val="none" w:sz="0" w:space="0" w:color="auto"/>
                        <w:bottom w:val="none" w:sz="0" w:space="0" w:color="auto"/>
                        <w:right w:val="none" w:sz="0" w:space="0" w:color="auto"/>
                      </w:divBdr>
                    </w:div>
                  </w:divsChild>
                </w:div>
                <w:div w:id="2131585797">
                  <w:marLeft w:val="0"/>
                  <w:marRight w:val="0"/>
                  <w:marTop w:val="0"/>
                  <w:marBottom w:val="0"/>
                  <w:divBdr>
                    <w:top w:val="none" w:sz="0" w:space="0" w:color="auto"/>
                    <w:left w:val="none" w:sz="0" w:space="0" w:color="auto"/>
                    <w:bottom w:val="none" w:sz="0" w:space="0" w:color="auto"/>
                    <w:right w:val="none" w:sz="0" w:space="0" w:color="auto"/>
                  </w:divBdr>
                  <w:divsChild>
                    <w:div w:id="1615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98488">
          <w:marLeft w:val="0"/>
          <w:marRight w:val="0"/>
          <w:marTop w:val="0"/>
          <w:marBottom w:val="0"/>
          <w:divBdr>
            <w:top w:val="none" w:sz="0" w:space="0" w:color="auto"/>
            <w:left w:val="none" w:sz="0" w:space="0" w:color="auto"/>
            <w:bottom w:val="none" w:sz="0" w:space="0" w:color="auto"/>
            <w:right w:val="none" w:sz="0" w:space="0" w:color="auto"/>
          </w:divBdr>
          <w:divsChild>
            <w:div w:id="310908244">
              <w:marLeft w:val="0"/>
              <w:marRight w:val="0"/>
              <w:marTop w:val="0"/>
              <w:marBottom w:val="0"/>
              <w:divBdr>
                <w:top w:val="none" w:sz="0" w:space="0" w:color="auto"/>
                <w:left w:val="none" w:sz="0" w:space="0" w:color="auto"/>
                <w:bottom w:val="none" w:sz="0" w:space="0" w:color="auto"/>
                <w:right w:val="none" w:sz="0" w:space="0" w:color="auto"/>
              </w:divBdr>
            </w:div>
          </w:divsChild>
        </w:div>
        <w:div w:id="1148941094">
          <w:marLeft w:val="0"/>
          <w:marRight w:val="0"/>
          <w:marTop w:val="0"/>
          <w:marBottom w:val="0"/>
          <w:divBdr>
            <w:top w:val="none" w:sz="0" w:space="0" w:color="auto"/>
            <w:left w:val="none" w:sz="0" w:space="0" w:color="auto"/>
            <w:bottom w:val="none" w:sz="0" w:space="0" w:color="auto"/>
            <w:right w:val="none" w:sz="0" w:space="0" w:color="auto"/>
          </w:divBdr>
        </w:div>
        <w:div w:id="1150974837">
          <w:marLeft w:val="0"/>
          <w:marRight w:val="0"/>
          <w:marTop w:val="0"/>
          <w:marBottom w:val="0"/>
          <w:divBdr>
            <w:top w:val="none" w:sz="0" w:space="0" w:color="auto"/>
            <w:left w:val="none" w:sz="0" w:space="0" w:color="auto"/>
            <w:bottom w:val="none" w:sz="0" w:space="0" w:color="auto"/>
            <w:right w:val="none" w:sz="0" w:space="0" w:color="auto"/>
          </w:divBdr>
        </w:div>
        <w:div w:id="1167327594">
          <w:marLeft w:val="0"/>
          <w:marRight w:val="0"/>
          <w:marTop w:val="0"/>
          <w:marBottom w:val="0"/>
          <w:divBdr>
            <w:top w:val="none" w:sz="0" w:space="0" w:color="auto"/>
            <w:left w:val="none" w:sz="0" w:space="0" w:color="auto"/>
            <w:bottom w:val="none" w:sz="0" w:space="0" w:color="auto"/>
            <w:right w:val="none" w:sz="0" w:space="0" w:color="auto"/>
          </w:divBdr>
        </w:div>
        <w:div w:id="1170632116">
          <w:marLeft w:val="0"/>
          <w:marRight w:val="0"/>
          <w:marTop w:val="0"/>
          <w:marBottom w:val="0"/>
          <w:divBdr>
            <w:top w:val="none" w:sz="0" w:space="0" w:color="auto"/>
            <w:left w:val="none" w:sz="0" w:space="0" w:color="auto"/>
            <w:bottom w:val="none" w:sz="0" w:space="0" w:color="auto"/>
            <w:right w:val="none" w:sz="0" w:space="0" w:color="auto"/>
          </w:divBdr>
        </w:div>
        <w:div w:id="1177960486">
          <w:marLeft w:val="0"/>
          <w:marRight w:val="0"/>
          <w:marTop w:val="0"/>
          <w:marBottom w:val="0"/>
          <w:divBdr>
            <w:top w:val="none" w:sz="0" w:space="0" w:color="auto"/>
            <w:left w:val="none" w:sz="0" w:space="0" w:color="auto"/>
            <w:bottom w:val="none" w:sz="0" w:space="0" w:color="auto"/>
            <w:right w:val="none" w:sz="0" w:space="0" w:color="auto"/>
          </w:divBdr>
        </w:div>
        <w:div w:id="1179731098">
          <w:marLeft w:val="0"/>
          <w:marRight w:val="0"/>
          <w:marTop w:val="0"/>
          <w:marBottom w:val="0"/>
          <w:divBdr>
            <w:top w:val="none" w:sz="0" w:space="0" w:color="auto"/>
            <w:left w:val="none" w:sz="0" w:space="0" w:color="auto"/>
            <w:bottom w:val="none" w:sz="0" w:space="0" w:color="auto"/>
            <w:right w:val="none" w:sz="0" w:space="0" w:color="auto"/>
          </w:divBdr>
        </w:div>
        <w:div w:id="1189224398">
          <w:marLeft w:val="0"/>
          <w:marRight w:val="0"/>
          <w:marTop w:val="0"/>
          <w:marBottom w:val="0"/>
          <w:divBdr>
            <w:top w:val="none" w:sz="0" w:space="0" w:color="auto"/>
            <w:left w:val="none" w:sz="0" w:space="0" w:color="auto"/>
            <w:bottom w:val="none" w:sz="0" w:space="0" w:color="auto"/>
            <w:right w:val="none" w:sz="0" w:space="0" w:color="auto"/>
          </w:divBdr>
        </w:div>
        <w:div w:id="1198930405">
          <w:marLeft w:val="0"/>
          <w:marRight w:val="0"/>
          <w:marTop w:val="0"/>
          <w:marBottom w:val="0"/>
          <w:divBdr>
            <w:top w:val="none" w:sz="0" w:space="0" w:color="auto"/>
            <w:left w:val="none" w:sz="0" w:space="0" w:color="auto"/>
            <w:bottom w:val="none" w:sz="0" w:space="0" w:color="auto"/>
            <w:right w:val="none" w:sz="0" w:space="0" w:color="auto"/>
          </w:divBdr>
        </w:div>
        <w:div w:id="1200629206">
          <w:marLeft w:val="0"/>
          <w:marRight w:val="0"/>
          <w:marTop w:val="0"/>
          <w:marBottom w:val="0"/>
          <w:divBdr>
            <w:top w:val="none" w:sz="0" w:space="0" w:color="auto"/>
            <w:left w:val="none" w:sz="0" w:space="0" w:color="auto"/>
            <w:bottom w:val="none" w:sz="0" w:space="0" w:color="auto"/>
            <w:right w:val="none" w:sz="0" w:space="0" w:color="auto"/>
          </w:divBdr>
        </w:div>
        <w:div w:id="1200775150">
          <w:marLeft w:val="0"/>
          <w:marRight w:val="0"/>
          <w:marTop w:val="0"/>
          <w:marBottom w:val="0"/>
          <w:divBdr>
            <w:top w:val="none" w:sz="0" w:space="0" w:color="auto"/>
            <w:left w:val="none" w:sz="0" w:space="0" w:color="auto"/>
            <w:bottom w:val="none" w:sz="0" w:space="0" w:color="auto"/>
            <w:right w:val="none" w:sz="0" w:space="0" w:color="auto"/>
          </w:divBdr>
        </w:div>
        <w:div w:id="1202015151">
          <w:marLeft w:val="0"/>
          <w:marRight w:val="0"/>
          <w:marTop w:val="0"/>
          <w:marBottom w:val="0"/>
          <w:divBdr>
            <w:top w:val="none" w:sz="0" w:space="0" w:color="auto"/>
            <w:left w:val="none" w:sz="0" w:space="0" w:color="auto"/>
            <w:bottom w:val="none" w:sz="0" w:space="0" w:color="auto"/>
            <w:right w:val="none" w:sz="0" w:space="0" w:color="auto"/>
          </w:divBdr>
        </w:div>
        <w:div w:id="1213007689">
          <w:marLeft w:val="0"/>
          <w:marRight w:val="0"/>
          <w:marTop w:val="0"/>
          <w:marBottom w:val="0"/>
          <w:divBdr>
            <w:top w:val="none" w:sz="0" w:space="0" w:color="auto"/>
            <w:left w:val="none" w:sz="0" w:space="0" w:color="auto"/>
            <w:bottom w:val="none" w:sz="0" w:space="0" w:color="auto"/>
            <w:right w:val="none" w:sz="0" w:space="0" w:color="auto"/>
          </w:divBdr>
          <w:divsChild>
            <w:div w:id="200674323">
              <w:marLeft w:val="0"/>
              <w:marRight w:val="0"/>
              <w:marTop w:val="0"/>
              <w:marBottom w:val="0"/>
              <w:divBdr>
                <w:top w:val="none" w:sz="0" w:space="0" w:color="auto"/>
                <w:left w:val="none" w:sz="0" w:space="0" w:color="auto"/>
                <w:bottom w:val="none" w:sz="0" w:space="0" w:color="auto"/>
                <w:right w:val="none" w:sz="0" w:space="0" w:color="auto"/>
              </w:divBdr>
            </w:div>
            <w:div w:id="1288660852">
              <w:marLeft w:val="0"/>
              <w:marRight w:val="0"/>
              <w:marTop w:val="0"/>
              <w:marBottom w:val="0"/>
              <w:divBdr>
                <w:top w:val="none" w:sz="0" w:space="0" w:color="auto"/>
                <w:left w:val="none" w:sz="0" w:space="0" w:color="auto"/>
                <w:bottom w:val="none" w:sz="0" w:space="0" w:color="auto"/>
                <w:right w:val="none" w:sz="0" w:space="0" w:color="auto"/>
              </w:divBdr>
            </w:div>
            <w:div w:id="1322006481">
              <w:marLeft w:val="0"/>
              <w:marRight w:val="0"/>
              <w:marTop w:val="0"/>
              <w:marBottom w:val="0"/>
              <w:divBdr>
                <w:top w:val="none" w:sz="0" w:space="0" w:color="auto"/>
                <w:left w:val="none" w:sz="0" w:space="0" w:color="auto"/>
                <w:bottom w:val="none" w:sz="0" w:space="0" w:color="auto"/>
                <w:right w:val="none" w:sz="0" w:space="0" w:color="auto"/>
              </w:divBdr>
            </w:div>
            <w:div w:id="1411585057">
              <w:marLeft w:val="0"/>
              <w:marRight w:val="0"/>
              <w:marTop w:val="0"/>
              <w:marBottom w:val="0"/>
              <w:divBdr>
                <w:top w:val="none" w:sz="0" w:space="0" w:color="auto"/>
                <w:left w:val="none" w:sz="0" w:space="0" w:color="auto"/>
                <w:bottom w:val="none" w:sz="0" w:space="0" w:color="auto"/>
                <w:right w:val="none" w:sz="0" w:space="0" w:color="auto"/>
              </w:divBdr>
            </w:div>
            <w:div w:id="2099986168">
              <w:marLeft w:val="0"/>
              <w:marRight w:val="0"/>
              <w:marTop w:val="0"/>
              <w:marBottom w:val="0"/>
              <w:divBdr>
                <w:top w:val="none" w:sz="0" w:space="0" w:color="auto"/>
                <w:left w:val="none" w:sz="0" w:space="0" w:color="auto"/>
                <w:bottom w:val="none" w:sz="0" w:space="0" w:color="auto"/>
                <w:right w:val="none" w:sz="0" w:space="0" w:color="auto"/>
              </w:divBdr>
            </w:div>
          </w:divsChild>
        </w:div>
        <w:div w:id="1227689786">
          <w:marLeft w:val="0"/>
          <w:marRight w:val="0"/>
          <w:marTop w:val="0"/>
          <w:marBottom w:val="0"/>
          <w:divBdr>
            <w:top w:val="none" w:sz="0" w:space="0" w:color="auto"/>
            <w:left w:val="none" w:sz="0" w:space="0" w:color="auto"/>
            <w:bottom w:val="none" w:sz="0" w:space="0" w:color="auto"/>
            <w:right w:val="none" w:sz="0" w:space="0" w:color="auto"/>
          </w:divBdr>
          <w:divsChild>
            <w:div w:id="1033849877">
              <w:marLeft w:val="0"/>
              <w:marRight w:val="0"/>
              <w:marTop w:val="0"/>
              <w:marBottom w:val="0"/>
              <w:divBdr>
                <w:top w:val="none" w:sz="0" w:space="0" w:color="auto"/>
                <w:left w:val="none" w:sz="0" w:space="0" w:color="auto"/>
                <w:bottom w:val="none" w:sz="0" w:space="0" w:color="auto"/>
                <w:right w:val="none" w:sz="0" w:space="0" w:color="auto"/>
              </w:divBdr>
            </w:div>
            <w:div w:id="1392924544">
              <w:marLeft w:val="0"/>
              <w:marRight w:val="0"/>
              <w:marTop w:val="0"/>
              <w:marBottom w:val="0"/>
              <w:divBdr>
                <w:top w:val="none" w:sz="0" w:space="0" w:color="auto"/>
                <w:left w:val="none" w:sz="0" w:space="0" w:color="auto"/>
                <w:bottom w:val="none" w:sz="0" w:space="0" w:color="auto"/>
                <w:right w:val="none" w:sz="0" w:space="0" w:color="auto"/>
              </w:divBdr>
            </w:div>
            <w:div w:id="1524318544">
              <w:marLeft w:val="0"/>
              <w:marRight w:val="0"/>
              <w:marTop w:val="0"/>
              <w:marBottom w:val="0"/>
              <w:divBdr>
                <w:top w:val="none" w:sz="0" w:space="0" w:color="auto"/>
                <w:left w:val="none" w:sz="0" w:space="0" w:color="auto"/>
                <w:bottom w:val="none" w:sz="0" w:space="0" w:color="auto"/>
                <w:right w:val="none" w:sz="0" w:space="0" w:color="auto"/>
              </w:divBdr>
            </w:div>
            <w:div w:id="1582762186">
              <w:marLeft w:val="0"/>
              <w:marRight w:val="0"/>
              <w:marTop w:val="0"/>
              <w:marBottom w:val="0"/>
              <w:divBdr>
                <w:top w:val="none" w:sz="0" w:space="0" w:color="auto"/>
                <w:left w:val="none" w:sz="0" w:space="0" w:color="auto"/>
                <w:bottom w:val="none" w:sz="0" w:space="0" w:color="auto"/>
                <w:right w:val="none" w:sz="0" w:space="0" w:color="auto"/>
              </w:divBdr>
            </w:div>
            <w:div w:id="2074814021">
              <w:marLeft w:val="0"/>
              <w:marRight w:val="0"/>
              <w:marTop w:val="0"/>
              <w:marBottom w:val="0"/>
              <w:divBdr>
                <w:top w:val="none" w:sz="0" w:space="0" w:color="auto"/>
                <w:left w:val="none" w:sz="0" w:space="0" w:color="auto"/>
                <w:bottom w:val="none" w:sz="0" w:space="0" w:color="auto"/>
                <w:right w:val="none" w:sz="0" w:space="0" w:color="auto"/>
              </w:divBdr>
            </w:div>
          </w:divsChild>
        </w:div>
        <w:div w:id="1235772865">
          <w:marLeft w:val="0"/>
          <w:marRight w:val="0"/>
          <w:marTop w:val="0"/>
          <w:marBottom w:val="0"/>
          <w:divBdr>
            <w:top w:val="none" w:sz="0" w:space="0" w:color="auto"/>
            <w:left w:val="none" w:sz="0" w:space="0" w:color="auto"/>
            <w:bottom w:val="none" w:sz="0" w:space="0" w:color="auto"/>
            <w:right w:val="none" w:sz="0" w:space="0" w:color="auto"/>
          </w:divBdr>
        </w:div>
        <w:div w:id="1237939123">
          <w:marLeft w:val="0"/>
          <w:marRight w:val="0"/>
          <w:marTop w:val="0"/>
          <w:marBottom w:val="0"/>
          <w:divBdr>
            <w:top w:val="none" w:sz="0" w:space="0" w:color="auto"/>
            <w:left w:val="none" w:sz="0" w:space="0" w:color="auto"/>
            <w:bottom w:val="none" w:sz="0" w:space="0" w:color="auto"/>
            <w:right w:val="none" w:sz="0" w:space="0" w:color="auto"/>
          </w:divBdr>
        </w:div>
        <w:div w:id="1242955814">
          <w:marLeft w:val="0"/>
          <w:marRight w:val="0"/>
          <w:marTop w:val="0"/>
          <w:marBottom w:val="0"/>
          <w:divBdr>
            <w:top w:val="none" w:sz="0" w:space="0" w:color="auto"/>
            <w:left w:val="none" w:sz="0" w:space="0" w:color="auto"/>
            <w:bottom w:val="none" w:sz="0" w:space="0" w:color="auto"/>
            <w:right w:val="none" w:sz="0" w:space="0" w:color="auto"/>
          </w:divBdr>
        </w:div>
        <w:div w:id="1249191588">
          <w:marLeft w:val="0"/>
          <w:marRight w:val="0"/>
          <w:marTop w:val="0"/>
          <w:marBottom w:val="0"/>
          <w:divBdr>
            <w:top w:val="none" w:sz="0" w:space="0" w:color="auto"/>
            <w:left w:val="none" w:sz="0" w:space="0" w:color="auto"/>
            <w:bottom w:val="none" w:sz="0" w:space="0" w:color="auto"/>
            <w:right w:val="none" w:sz="0" w:space="0" w:color="auto"/>
          </w:divBdr>
        </w:div>
        <w:div w:id="1255212404">
          <w:marLeft w:val="0"/>
          <w:marRight w:val="0"/>
          <w:marTop w:val="0"/>
          <w:marBottom w:val="0"/>
          <w:divBdr>
            <w:top w:val="none" w:sz="0" w:space="0" w:color="auto"/>
            <w:left w:val="none" w:sz="0" w:space="0" w:color="auto"/>
            <w:bottom w:val="none" w:sz="0" w:space="0" w:color="auto"/>
            <w:right w:val="none" w:sz="0" w:space="0" w:color="auto"/>
          </w:divBdr>
        </w:div>
        <w:div w:id="1271087197">
          <w:marLeft w:val="0"/>
          <w:marRight w:val="0"/>
          <w:marTop w:val="0"/>
          <w:marBottom w:val="0"/>
          <w:divBdr>
            <w:top w:val="none" w:sz="0" w:space="0" w:color="auto"/>
            <w:left w:val="none" w:sz="0" w:space="0" w:color="auto"/>
            <w:bottom w:val="none" w:sz="0" w:space="0" w:color="auto"/>
            <w:right w:val="none" w:sz="0" w:space="0" w:color="auto"/>
          </w:divBdr>
          <w:divsChild>
            <w:div w:id="414208942">
              <w:marLeft w:val="0"/>
              <w:marRight w:val="0"/>
              <w:marTop w:val="0"/>
              <w:marBottom w:val="0"/>
              <w:divBdr>
                <w:top w:val="none" w:sz="0" w:space="0" w:color="auto"/>
                <w:left w:val="none" w:sz="0" w:space="0" w:color="auto"/>
                <w:bottom w:val="none" w:sz="0" w:space="0" w:color="auto"/>
                <w:right w:val="none" w:sz="0" w:space="0" w:color="auto"/>
              </w:divBdr>
            </w:div>
            <w:div w:id="892930771">
              <w:marLeft w:val="0"/>
              <w:marRight w:val="0"/>
              <w:marTop w:val="0"/>
              <w:marBottom w:val="0"/>
              <w:divBdr>
                <w:top w:val="none" w:sz="0" w:space="0" w:color="auto"/>
                <w:left w:val="none" w:sz="0" w:space="0" w:color="auto"/>
                <w:bottom w:val="none" w:sz="0" w:space="0" w:color="auto"/>
                <w:right w:val="none" w:sz="0" w:space="0" w:color="auto"/>
              </w:divBdr>
            </w:div>
            <w:div w:id="1391267891">
              <w:marLeft w:val="0"/>
              <w:marRight w:val="0"/>
              <w:marTop w:val="0"/>
              <w:marBottom w:val="0"/>
              <w:divBdr>
                <w:top w:val="none" w:sz="0" w:space="0" w:color="auto"/>
                <w:left w:val="none" w:sz="0" w:space="0" w:color="auto"/>
                <w:bottom w:val="none" w:sz="0" w:space="0" w:color="auto"/>
                <w:right w:val="none" w:sz="0" w:space="0" w:color="auto"/>
              </w:divBdr>
            </w:div>
          </w:divsChild>
        </w:div>
        <w:div w:id="1290239820">
          <w:marLeft w:val="0"/>
          <w:marRight w:val="0"/>
          <w:marTop w:val="0"/>
          <w:marBottom w:val="0"/>
          <w:divBdr>
            <w:top w:val="none" w:sz="0" w:space="0" w:color="auto"/>
            <w:left w:val="none" w:sz="0" w:space="0" w:color="auto"/>
            <w:bottom w:val="none" w:sz="0" w:space="0" w:color="auto"/>
            <w:right w:val="none" w:sz="0" w:space="0" w:color="auto"/>
          </w:divBdr>
        </w:div>
        <w:div w:id="1292588706">
          <w:marLeft w:val="0"/>
          <w:marRight w:val="0"/>
          <w:marTop w:val="0"/>
          <w:marBottom w:val="0"/>
          <w:divBdr>
            <w:top w:val="none" w:sz="0" w:space="0" w:color="auto"/>
            <w:left w:val="none" w:sz="0" w:space="0" w:color="auto"/>
            <w:bottom w:val="none" w:sz="0" w:space="0" w:color="auto"/>
            <w:right w:val="none" w:sz="0" w:space="0" w:color="auto"/>
          </w:divBdr>
          <w:divsChild>
            <w:div w:id="313532159">
              <w:marLeft w:val="0"/>
              <w:marRight w:val="0"/>
              <w:marTop w:val="0"/>
              <w:marBottom w:val="0"/>
              <w:divBdr>
                <w:top w:val="none" w:sz="0" w:space="0" w:color="auto"/>
                <w:left w:val="none" w:sz="0" w:space="0" w:color="auto"/>
                <w:bottom w:val="none" w:sz="0" w:space="0" w:color="auto"/>
                <w:right w:val="none" w:sz="0" w:space="0" w:color="auto"/>
              </w:divBdr>
            </w:div>
            <w:div w:id="891229237">
              <w:marLeft w:val="0"/>
              <w:marRight w:val="0"/>
              <w:marTop w:val="0"/>
              <w:marBottom w:val="0"/>
              <w:divBdr>
                <w:top w:val="none" w:sz="0" w:space="0" w:color="auto"/>
                <w:left w:val="none" w:sz="0" w:space="0" w:color="auto"/>
                <w:bottom w:val="none" w:sz="0" w:space="0" w:color="auto"/>
                <w:right w:val="none" w:sz="0" w:space="0" w:color="auto"/>
              </w:divBdr>
            </w:div>
            <w:div w:id="945691322">
              <w:marLeft w:val="0"/>
              <w:marRight w:val="0"/>
              <w:marTop w:val="0"/>
              <w:marBottom w:val="0"/>
              <w:divBdr>
                <w:top w:val="none" w:sz="0" w:space="0" w:color="auto"/>
                <w:left w:val="none" w:sz="0" w:space="0" w:color="auto"/>
                <w:bottom w:val="none" w:sz="0" w:space="0" w:color="auto"/>
                <w:right w:val="none" w:sz="0" w:space="0" w:color="auto"/>
              </w:divBdr>
            </w:div>
            <w:div w:id="1583442539">
              <w:marLeft w:val="0"/>
              <w:marRight w:val="0"/>
              <w:marTop w:val="0"/>
              <w:marBottom w:val="0"/>
              <w:divBdr>
                <w:top w:val="none" w:sz="0" w:space="0" w:color="auto"/>
                <w:left w:val="none" w:sz="0" w:space="0" w:color="auto"/>
                <w:bottom w:val="none" w:sz="0" w:space="0" w:color="auto"/>
                <w:right w:val="none" w:sz="0" w:space="0" w:color="auto"/>
              </w:divBdr>
            </w:div>
            <w:div w:id="1724793688">
              <w:marLeft w:val="0"/>
              <w:marRight w:val="0"/>
              <w:marTop w:val="0"/>
              <w:marBottom w:val="0"/>
              <w:divBdr>
                <w:top w:val="none" w:sz="0" w:space="0" w:color="auto"/>
                <w:left w:val="none" w:sz="0" w:space="0" w:color="auto"/>
                <w:bottom w:val="none" w:sz="0" w:space="0" w:color="auto"/>
                <w:right w:val="none" w:sz="0" w:space="0" w:color="auto"/>
              </w:divBdr>
            </w:div>
          </w:divsChild>
        </w:div>
        <w:div w:id="1308703297">
          <w:marLeft w:val="0"/>
          <w:marRight w:val="0"/>
          <w:marTop w:val="0"/>
          <w:marBottom w:val="0"/>
          <w:divBdr>
            <w:top w:val="none" w:sz="0" w:space="0" w:color="auto"/>
            <w:left w:val="none" w:sz="0" w:space="0" w:color="auto"/>
            <w:bottom w:val="none" w:sz="0" w:space="0" w:color="auto"/>
            <w:right w:val="none" w:sz="0" w:space="0" w:color="auto"/>
          </w:divBdr>
        </w:div>
        <w:div w:id="1325888865">
          <w:marLeft w:val="0"/>
          <w:marRight w:val="0"/>
          <w:marTop w:val="0"/>
          <w:marBottom w:val="0"/>
          <w:divBdr>
            <w:top w:val="none" w:sz="0" w:space="0" w:color="auto"/>
            <w:left w:val="none" w:sz="0" w:space="0" w:color="auto"/>
            <w:bottom w:val="none" w:sz="0" w:space="0" w:color="auto"/>
            <w:right w:val="none" w:sz="0" w:space="0" w:color="auto"/>
          </w:divBdr>
        </w:div>
        <w:div w:id="1333945408">
          <w:marLeft w:val="0"/>
          <w:marRight w:val="0"/>
          <w:marTop w:val="0"/>
          <w:marBottom w:val="0"/>
          <w:divBdr>
            <w:top w:val="none" w:sz="0" w:space="0" w:color="auto"/>
            <w:left w:val="none" w:sz="0" w:space="0" w:color="auto"/>
            <w:bottom w:val="none" w:sz="0" w:space="0" w:color="auto"/>
            <w:right w:val="none" w:sz="0" w:space="0" w:color="auto"/>
          </w:divBdr>
        </w:div>
        <w:div w:id="1353190959">
          <w:marLeft w:val="0"/>
          <w:marRight w:val="0"/>
          <w:marTop w:val="0"/>
          <w:marBottom w:val="0"/>
          <w:divBdr>
            <w:top w:val="none" w:sz="0" w:space="0" w:color="auto"/>
            <w:left w:val="none" w:sz="0" w:space="0" w:color="auto"/>
            <w:bottom w:val="none" w:sz="0" w:space="0" w:color="auto"/>
            <w:right w:val="none" w:sz="0" w:space="0" w:color="auto"/>
          </w:divBdr>
        </w:div>
        <w:div w:id="1354264153">
          <w:marLeft w:val="0"/>
          <w:marRight w:val="0"/>
          <w:marTop w:val="0"/>
          <w:marBottom w:val="0"/>
          <w:divBdr>
            <w:top w:val="none" w:sz="0" w:space="0" w:color="auto"/>
            <w:left w:val="none" w:sz="0" w:space="0" w:color="auto"/>
            <w:bottom w:val="none" w:sz="0" w:space="0" w:color="auto"/>
            <w:right w:val="none" w:sz="0" w:space="0" w:color="auto"/>
          </w:divBdr>
        </w:div>
        <w:div w:id="1357922657">
          <w:marLeft w:val="0"/>
          <w:marRight w:val="0"/>
          <w:marTop w:val="0"/>
          <w:marBottom w:val="0"/>
          <w:divBdr>
            <w:top w:val="none" w:sz="0" w:space="0" w:color="auto"/>
            <w:left w:val="none" w:sz="0" w:space="0" w:color="auto"/>
            <w:bottom w:val="none" w:sz="0" w:space="0" w:color="auto"/>
            <w:right w:val="none" w:sz="0" w:space="0" w:color="auto"/>
          </w:divBdr>
          <w:divsChild>
            <w:div w:id="358973218">
              <w:marLeft w:val="0"/>
              <w:marRight w:val="0"/>
              <w:marTop w:val="0"/>
              <w:marBottom w:val="0"/>
              <w:divBdr>
                <w:top w:val="none" w:sz="0" w:space="0" w:color="auto"/>
                <w:left w:val="none" w:sz="0" w:space="0" w:color="auto"/>
                <w:bottom w:val="none" w:sz="0" w:space="0" w:color="auto"/>
                <w:right w:val="none" w:sz="0" w:space="0" w:color="auto"/>
              </w:divBdr>
            </w:div>
            <w:div w:id="615798721">
              <w:marLeft w:val="0"/>
              <w:marRight w:val="0"/>
              <w:marTop w:val="0"/>
              <w:marBottom w:val="0"/>
              <w:divBdr>
                <w:top w:val="none" w:sz="0" w:space="0" w:color="auto"/>
                <w:left w:val="none" w:sz="0" w:space="0" w:color="auto"/>
                <w:bottom w:val="none" w:sz="0" w:space="0" w:color="auto"/>
                <w:right w:val="none" w:sz="0" w:space="0" w:color="auto"/>
              </w:divBdr>
            </w:div>
            <w:div w:id="949320260">
              <w:marLeft w:val="0"/>
              <w:marRight w:val="0"/>
              <w:marTop w:val="0"/>
              <w:marBottom w:val="0"/>
              <w:divBdr>
                <w:top w:val="none" w:sz="0" w:space="0" w:color="auto"/>
                <w:left w:val="none" w:sz="0" w:space="0" w:color="auto"/>
                <w:bottom w:val="none" w:sz="0" w:space="0" w:color="auto"/>
                <w:right w:val="none" w:sz="0" w:space="0" w:color="auto"/>
              </w:divBdr>
            </w:div>
            <w:div w:id="1054548092">
              <w:marLeft w:val="0"/>
              <w:marRight w:val="0"/>
              <w:marTop w:val="0"/>
              <w:marBottom w:val="0"/>
              <w:divBdr>
                <w:top w:val="none" w:sz="0" w:space="0" w:color="auto"/>
                <w:left w:val="none" w:sz="0" w:space="0" w:color="auto"/>
                <w:bottom w:val="none" w:sz="0" w:space="0" w:color="auto"/>
                <w:right w:val="none" w:sz="0" w:space="0" w:color="auto"/>
              </w:divBdr>
            </w:div>
            <w:div w:id="1512597503">
              <w:marLeft w:val="0"/>
              <w:marRight w:val="0"/>
              <w:marTop w:val="0"/>
              <w:marBottom w:val="0"/>
              <w:divBdr>
                <w:top w:val="none" w:sz="0" w:space="0" w:color="auto"/>
                <w:left w:val="none" w:sz="0" w:space="0" w:color="auto"/>
                <w:bottom w:val="none" w:sz="0" w:space="0" w:color="auto"/>
                <w:right w:val="none" w:sz="0" w:space="0" w:color="auto"/>
              </w:divBdr>
            </w:div>
          </w:divsChild>
        </w:div>
        <w:div w:id="1361980044">
          <w:marLeft w:val="0"/>
          <w:marRight w:val="0"/>
          <w:marTop w:val="0"/>
          <w:marBottom w:val="0"/>
          <w:divBdr>
            <w:top w:val="none" w:sz="0" w:space="0" w:color="auto"/>
            <w:left w:val="none" w:sz="0" w:space="0" w:color="auto"/>
            <w:bottom w:val="none" w:sz="0" w:space="0" w:color="auto"/>
            <w:right w:val="none" w:sz="0" w:space="0" w:color="auto"/>
          </w:divBdr>
          <w:divsChild>
            <w:div w:id="1690567562">
              <w:marLeft w:val="0"/>
              <w:marRight w:val="0"/>
              <w:marTop w:val="0"/>
              <w:marBottom w:val="0"/>
              <w:divBdr>
                <w:top w:val="none" w:sz="0" w:space="0" w:color="auto"/>
                <w:left w:val="none" w:sz="0" w:space="0" w:color="auto"/>
                <w:bottom w:val="none" w:sz="0" w:space="0" w:color="auto"/>
                <w:right w:val="none" w:sz="0" w:space="0" w:color="auto"/>
              </w:divBdr>
            </w:div>
          </w:divsChild>
        </w:div>
        <w:div w:id="1385908880">
          <w:marLeft w:val="0"/>
          <w:marRight w:val="0"/>
          <w:marTop w:val="0"/>
          <w:marBottom w:val="0"/>
          <w:divBdr>
            <w:top w:val="none" w:sz="0" w:space="0" w:color="auto"/>
            <w:left w:val="none" w:sz="0" w:space="0" w:color="auto"/>
            <w:bottom w:val="none" w:sz="0" w:space="0" w:color="auto"/>
            <w:right w:val="none" w:sz="0" w:space="0" w:color="auto"/>
          </w:divBdr>
        </w:div>
        <w:div w:id="1398891841">
          <w:marLeft w:val="0"/>
          <w:marRight w:val="0"/>
          <w:marTop w:val="0"/>
          <w:marBottom w:val="0"/>
          <w:divBdr>
            <w:top w:val="none" w:sz="0" w:space="0" w:color="auto"/>
            <w:left w:val="none" w:sz="0" w:space="0" w:color="auto"/>
            <w:bottom w:val="none" w:sz="0" w:space="0" w:color="auto"/>
            <w:right w:val="none" w:sz="0" w:space="0" w:color="auto"/>
          </w:divBdr>
        </w:div>
        <w:div w:id="1412696516">
          <w:marLeft w:val="0"/>
          <w:marRight w:val="0"/>
          <w:marTop w:val="0"/>
          <w:marBottom w:val="0"/>
          <w:divBdr>
            <w:top w:val="none" w:sz="0" w:space="0" w:color="auto"/>
            <w:left w:val="none" w:sz="0" w:space="0" w:color="auto"/>
            <w:bottom w:val="none" w:sz="0" w:space="0" w:color="auto"/>
            <w:right w:val="none" w:sz="0" w:space="0" w:color="auto"/>
          </w:divBdr>
        </w:div>
        <w:div w:id="1412851513">
          <w:marLeft w:val="0"/>
          <w:marRight w:val="0"/>
          <w:marTop w:val="0"/>
          <w:marBottom w:val="0"/>
          <w:divBdr>
            <w:top w:val="none" w:sz="0" w:space="0" w:color="auto"/>
            <w:left w:val="none" w:sz="0" w:space="0" w:color="auto"/>
            <w:bottom w:val="none" w:sz="0" w:space="0" w:color="auto"/>
            <w:right w:val="none" w:sz="0" w:space="0" w:color="auto"/>
          </w:divBdr>
        </w:div>
        <w:div w:id="1415081555">
          <w:marLeft w:val="0"/>
          <w:marRight w:val="0"/>
          <w:marTop w:val="0"/>
          <w:marBottom w:val="0"/>
          <w:divBdr>
            <w:top w:val="none" w:sz="0" w:space="0" w:color="auto"/>
            <w:left w:val="none" w:sz="0" w:space="0" w:color="auto"/>
            <w:bottom w:val="none" w:sz="0" w:space="0" w:color="auto"/>
            <w:right w:val="none" w:sz="0" w:space="0" w:color="auto"/>
          </w:divBdr>
        </w:div>
        <w:div w:id="1416781464">
          <w:marLeft w:val="0"/>
          <w:marRight w:val="0"/>
          <w:marTop w:val="0"/>
          <w:marBottom w:val="0"/>
          <w:divBdr>
            <w:top w:val="none" w:sz="0" w:space="0" w:color="auto"/>
            <w:left w:val="none" w:sz="0" w:space="0" w:color="auto"/>
            <w:bottom w:val="none" w:sz="0" w:space="0" w:color="auto"/>
            <w:right w:val="none" w:sz="0" w:space="0" w:color="auto"/>
          </w:divBdr>
        </w:div>
        <w:div w:id="1417558383">
          <w:marLeft w:val="0"/>
          <w:marRight w:val="0"/>
          <w:marTop w:val="0"/>
          <w:marBottom w:val="0"/>
          <w:divBdr>
            <w:top w:val="none" w:sz="0" w:space="0" w:color="auto"/>
            <w:left w:val="none" w:sz="0" w:space="0" w:color="auto"/>
            <w:bottom w:val="none" w:sz="0" w:space="0" w:color="auto"/>
            <w:right w:val="none" w:sz="0" w:space="0" w:color="auto"/>
          </w:divBdr>
        </w:div>
        <w:div w:id="1418016970">
          <w:marLeft w:val="0"/>
          <w:marRight w:val="0"/>
          <w:marTop w:val="0"/>
          <w:marBottom w:val="0"/>
          <w:divBdr>
            <w:top w:val="none" w:sz="0" w:space="0" w:color="auto"/>
            <w:left w:val="none" w:sz="0" w:space="0" w:color="auto"/>
            <w:bottom w:val="none" w:sz="0" w:space="0" w:color="auto"/>
            <w:right w:val="none" w:sz="0" w:space="0" w:color="auto"/>
          </w:divBdr>
        </w:div>
        <w:div w:id="1425105800">
          <w:marLeft w:val="0"/>
          <w:marRight w:val="0"/>
          <w:marTop w:val="0"/>
          <w:marBottom w:val="0"/>
          <w:divBdr>
            <w:top w:val="none" w:sz="0" w:space="0" w:color="auto"/>
            <w:left w:val="none" w:sz="0" w:space="0" w:color="auto"/>
            <w:bottom w:val="none" w:sz="0" w:space="0" w:color="auto"/>
            <w:right w:val="none" w:sz="0" w:space="0" w:color="auto"/>
          </w:divBdr>
        </w:div>
        <w:div w:id="1432435585">
          <w:marLeft w:val="0"/>
          <w:marRight w:val="0"/>
          <w:marTop w:val="0"/>
          <w:marBottom w:val="0"/>
          <w:divBdr>
            <w:top w:val="none" w:sz="0" w:space="0" w:color="auto"/>
            <w:left w:val="none" w:sz="0" w:space="0" w:color="auto"/>
            <w:bottom w:val="none" w:sz="0" w:space="0" w:color="auto"/>
            <w:right w:val="none" w:sz="0" w:space="0" w:color="auto"/>
          </w:divBdr>
        </w:div>
        <w:div w:id="1477183187">
          <w:marLeft w:val="0"/>
          <w:marRight w:val="0"/>
          <w:marTop w:val="0"/>
          <w:marBottom w:val="0"/>
          <w:divBdr>
            <w:top w:val="none" w:sz="0" w:space="0" w:color="auto"/>
            <w:left w:val="none" w:sz="0" w:space="0" w:color="auto"/>
            <w:bottom w:val="none" w:sz="0" w:space="0" w:color="auto"/>
            <w:right w:val="none" w:sz="0" w:space="0" w:color="auto"/>
          </w:divBdr>
        </w:div>
        <w:div w:id="1486704487">
          <w:marLeft w:val="0"/>
          <w:marRight w:val="0"/>
          <w:marTop w:val="0"/>
          <w:marBottom w:val="0"/>
          <w:divBdr>
            <w:top w:val="none" w:sz="0" w:space="0" w:color="auto"/>
            <w:left w:val="none" w:sz="0" w:space="0" w:color="auto"/>
            <w:bottom w:val="none" w:sz="0" w:space="0" w:color="auto"/>
            <w:right w:val="none" w:sz="0" w:space="0" w:color="auto"/>
          </w:divBdr>
        </w:div>
        <w:div w:id="1487480665">
          <w:marLeft w:val="0"/>
          <w:marRight w:val="0"/>
          <w:marTop w:val="0"/>
          <w:marBottom w:val="0"/>
          <w:divBdr>
            <w:top w:val="none" w:sz="0" w:space="0" w:color="auto"/>
            <w:left w:val="none" w:sz="0" w:space="0" w:color="auto"/>
            <w:bottom w:val="none" w:sz="0" w:space="0" w:color="auto"/>
            <w:right w:val="none" w:sz="0" w:space="0" w:color="auto"/>
          </w:divBdr>
        </w:div>
        <w:div w:id="1487823883">
          <w:marLeft w:val="0"/>
          <w:marRight w:val="0"/>
          <w:marTop w:val="0"/>
          <w:marBottom w:val="0"/>
          <w:divBdr>
            <w:top w:val="none" w:sz="0" w:space="0" w:color="auto"/>
            <w:left w:val="none" w:sz="0" w:space="0" w:color="auto"/>
            <w:bottom w:val="none" w:sz="0" w:space="0" w:color="auto"/>
            <w:right w:val="none" w:sz="0" w:space="0" w:color="auto"/>
          </w:divBdr>
        </w:div>
        <w:div w:id="1502088559">
          <w:marLeft w:val="0"/>
          <w:marRight w:val="0"/>
          <w:marTop w:val="0"/>
          <w:marBottom w:val="0"/>
          <w:divBdr>
            <w:top w:val="none" w:sz="0" w:space="0" w:color="auto"/>
            <w:left w:val="none" w:sz="0" w:space="0" w:color="auto"/>
            <w:bottom w:val="none" w:sz="0" w:space="0" w:color="auto"/>
            <w:right w:val="none" w:sz="0" w:space="0" w:color="auto"/>
          </w:divBdr>
        </w:div>
        <w:div w:id="1502237565">
          <w:marLeft w:val="0"/>
          <w:marRight w:val="0"/>
          <w:marTop w:val="0"/>
          <w:marBottom w:val="0"/>
          <w:divBdr>
            <w:top w:val="none" w:sz="0" w:space="0" w:color="auto"/>
            <w:left w:val="none" w:sz="0" w:space="0" w:color="auto"/>
            <w:bottom w:val="none" w:sz="0" w:space="0" w:color="auto"/>
            <w:right w:val="none" w:sz="0" w:space="0" w:color="auto"/>
          </w:divBdr>
          <w:divsChild>
            <w:div w:id="55058162">
              <w:marLeft w:val="0"/>
              <w:marRight w:val="0"/>
              <w:marTop w:val="0"/>
              <w:marBottom w:val="0"/>
              <w:divBdr>
                <w:top w:val="none" w:sz="0" w:space="0" w:color="auto"/>
                <w:left w:val="none" w:sz="0" w:space="0" w:color="auto"/>
                <w:bottom w:val="none" w:sz="0" w:space="0" w:color="auto"/>
                <w:right w:val="none" w:sz="0" w:space="0" w:color="auto"/>
              </w:divBdr>
            </w:div>
            <w:div w:id="61952268">
              <w:marLeft w:val="0"/>
              <w:marRight w:val="0"/>
              <w:marTop w:val="0"/>
              <w:marBottom w:val="0"/>
              <w:divBdr>
                <w:top w:val="none" w:sz="0" w:space="0" w:color="auto"/>
                <w:left w:val="none" w:sz="0" w:space="0" w:color="auto"/>
                <w:bottom w:val="none" w:sz="0" w:space="0" w:color="auto"/>
                <w:right w:val="none" w:sz="0" w:space="0" w:color="auto"/>
              </w:divBdr>
            </w:div>
            <w:div w:id="714886246">
              <w:marLeft w:val="0"/>
              <w:marRight w:val="0"/>
              <w:marTop w:val="0"/>
              <w:marBottom w:val="0"/>
              <w:divBdr>
                <w:top w:val="none" w:sz="0" w:space="0" w:color="auto"/>
                <w:left w:val="none" w:sz="0" w:space="0" w:color="auto"/>
                <w:bottom w:val="none" w:sz="0" w:space="0" w:color="auto"/>
                <w:right w:val="none" w:sz="0" w:space="0" w:color="auto"/>
              </w:divBdr>
            </w:div>
            <w:div w:id="797145083">
              <w:marLeft w:val="0"/>
              <w:marRight w:val="0"/>
              <w:marTop w:val="0"/>
              <w:marBottom w:val="0"/>
              <w:divBdr>
                <w:top w:val="none" w:sz="0" w:space="0" w:color="auto"/>
                <w:left w:val="none" w:sz="0" w:space="0" w:color="auto"/>
                <w:bottom w:val="none" w:sz="0" w:space="0" w:color="auto"/>
                <w:right w:val="none" w:sz="0" w:space="0" w:color="auto"/>
              </w:divBdr>
            </w:div>
            <w:div w:id="1209609834">
              <w:marLeft w:val="0"/>
              <w:marRight w:val="0"/>
              <w:marTop w:val="0"/>
              <w:marBottom w:val="0"/>
              <w:divBdr>
                <w:top w:val="none" w:sz="0" w:space="0" w:color="auto"/>
                <w:left w:val="none" w:sz="0" w:space="0" w:color="auto"/>
                <w:bottom w:val="none" w:sz="0" w:space="0" w:color="auto"/>
                <w:right w:val="none" w:sz="0" w:space="0" w:color="auto"/>
              </w:divBdr>
            </w:div>
          </w:divsChild>
        </w:div>
        <w:div w:id="1504323016">
          <w:marLeft w:val="0"/>
          <w:marRight w:val="0"/>
          <w:marTop w:val="0"/>
          <w:marBottom w:val="0"/>
          <w:divBdr>
            <w:top w:val="none" w:sz="0" w:space="0" w:color="auto"/>
            <w:left w:val="none" w:sz="0" w:space="0" w:color="auto"/>
            <w:bottom w:val="none" w:sz="0" w:space="0" w:color="auto"/>
            <w:right w:val="none" w:sz="0" w:space="0" w:color="auto"/>
          </w:divBdr>
        </w:div>
        <w:div w:id="1509906008">
          <w:marLeft w:val="0"/>
          <w:marRight w:val="0"/>
          <w:marTop w:val="0"/>
          <w:marBottom w:val="0"/>
          <w:divBdr>
            <w:top w:val="none" w:sz="0" w:space="0" w:color="auto"/>
            <w:left w:val="none" w:sz="0" w:space="0" w:color="auto"/>
            <w:bottom w:val="none" w:sz="0" w:space="0" w:color="auto"/>
            <w:right w:val="none" w:sz="0" w:space="0" w:color="auto"/>
          </w:divBdr>
        </w:div>
        <w:div w:id="1517424306">
          <w:marLeft w:val="0"/>
          <w:marRight w:val="0"/>
          <w:marTop w:val="0"/>
          <w:marBottom w:val="0"/>
          <w:divBdr>
            <w:top w:val="none" w:sz="0" w:space="0" w:color="auto"/>
            <w:left w:val="none" w:sz="0" w:space="0" w:color="auto"/>
            <w:bottom w:val="none" w:sz="0" w:space="0" w:color="auto"/>
            <w:right w:val="none" w:sz="0" w:space="0" w:color="auto"/>
          </w:divBdr>
          <w:divsChild>
            <w:div w:id="38285488">
              <w:marLeft w:val="0"/>
              <w:marRight w:val="0"/>
              <w:marTop w:val="0"/>
              <w:marBottom w:val="0"/>
              <w:divBdr>
                <w:top w:val="none" w:sz="0" w:space="0" w:color="auto"/>
                <w:left w:val="none" w:sz="0" w:space="0" w:color="auto"/>
                <w:bottom w:val="none" w:sz="0" w:space="0" w:color="auto"/>
                <w:right w:val="none" w:sz="0" w:space="0" w:color="auto"/>
              </w:divBdr>
            </w:div>
            <w:div w:id="190842452">
              <w:marLeft w:val="0"/>
              <w:marRight w:val="0"/>
              <w:marTop w:val="0"/>
              <w:marBottom w:val="0"/>
              <w:divBdr>
                <w:top w:val="none" w:sz="0" w:space="0" w:color="auto"/>
                <w:left w:val="none" w:sz="0" w:space="0" w:color="auto"/>
                <w:bottom w:val="none" w:sz="0" w:space="0" w:color="auto"/>
                <w:right w:val="none" w:sz="0" w:space="0" w:color="auto"/>
              </w:divBdr>
            </w:div>
            <w:div w:id="333730604">
              <w:marLeft w:val="0"/>
              <w:marRight w:val="0"/>
              <w:marTop w:val="0"/>
              <w:marBottom w:val="0"/>
              <w:divBdr>
                <w:top w:val="none" w:sz="0" w:space="0" w:color="auto"/>
                <w:left w:val="none" w:sz="0" w:space="0" w:color="auto"/>
                <w:bottom w:val="none" w:sz="0" w:space="0" w:color="auto"/>
                <w:right w:val="none" w:sz="0" w:space="0" w:color="auto"/>
              </w:divBdr>
            </w:div>
            <w:div w:id="1534264721">
              <w:marLeft w:val="0"/>
              <w:marRight w:val="0"/>
              <w:marTop w:val="0"/>
              <w:marBottom w:val="0"/>
              <w:divBdr>
                <w:top w:val="none" w:sz="0" w:space="0" w:color="auto"/>
                <w:left w:val="none" w:sz="0" w:space="0" w:color="auto"/>
                <w:bottom w:val="none" w:sz="0" w:space="0" w:color="auto"/>
                <w:right w:val="none" w:sz="0" w:space="0" w:color="auto"/>
              </w:divBdr>
            </w:div>
          </w:divsChild>
        </w:div>
        <w:div w:id="1518041180">
          <w:marLeft w:val="0"/>
          <w:marRight w:val="0"/>
          <w:marTop w:val="0"/>
          <w:marBottom w:val="0"/>
          <w:divBdr>
            <w:top w:val="none" w:sz="0" w:space="0" w:color="auto"/>
            <w:left w:val="none" w:sz="0" w:space="0" w:color="auto"/>
            <w:bottom w:val="none" w:sz="0" w:space="0" w:color="auto"/>
            <w:right w:val="none" w:sz="0" w:space="0" w:color="auto"/>
          </w:divBdr>
          <w:divsChild>
            <w:div w:id="237402423">
              <w:marLeft w:val="0"/>
              <w:marRight w:val="0"/>
              <w:marTop w:val="0"/>
              <w:marBottom w:val="0"/>
              <w:divBdr>
                <w:top w:val="none" w:sz="0" w:space="0" w:color="auto"/>
                <w:left w:val="none" w:sz="0" w:space="0" w:color="auto"/>
                <w:bottom w:val="none" w:sz="0" w:space="0" w:color="auto"/>
                <w:right w:val="none" w:sz="0" w:space="0" w:color="auto"/>
              </w:divBdr>
            </w:div>
            <w:div w:id="304745606">
              <w:marLeft w:val="0"/>
              <w:marRight w:val="0"/>
              <w:marTop w:val="0"/>
              <w:marBottom w:val="0"/>
              <w:divBdr>
                <w:top w:val="none" w:sz="0" w:space="0" w:color="auto"/>
                <w:left w:val="none" w:sz="0" w:space="0" w:color="auto"/>
                <w:bottom w:val="none" w:sz="0" w:space="0" w:color="auto"/>
                <w:right w:val="none" w:sz="0" w:space="0" w:color="auto"/>
              </w:divBdr>
            </w:div>
            <w:div w:id="535433447">
              <w:marLeft w:val="0"/>
              <w:marRight w:val="0"/>
              <w:marTop w:val="0"/>
              <w:marBottom w:val="0"/>
              <w:divBdr>
                <w:top w:val="none" w:sz="0" w:space="0" w:color="auto"/>
                <w:left w:val="none" w:sz="0" w:space="0" w:color="auto"/>
                <w:bottom w:val="none" w:sz="0" w:space="0" w:color="auto"/>
                <w:right w:val="none" w:sz="0" w:space="0" w:color="auto"/>
              </w:divBdr>
            </w:div>
            <w:div w:id="1829788959">
              <w:marLeft w:val="0"/>
              <w:marRight w:val="0"/>
              <w:marTop w:val="0"/>
              <w:marBottom w:val="0"/>
              <w:divBdr>
                <w:top w:val="none" w:sz="0" w:space="0" w:color="auto"/>
                <w:left w:val="none" w:sz="0" w:space="0" w:color="auto"/>
                <w:bottom w:val="none" w:sz="0" w:space="0" w:color="auto"/>
                <w:right w:val="none" w:sz="0" w:space="0" w:color="auto"/>
              </w:divBdr>
            </w:div>
            <w:div w:id="2001613284">
              <w:marLeft w:val="0"/>
              <w:marRight w:val="0"/>
              <w:marTop w:val="0"/>
              <w:marBottom w:val="0"/>
              <w:divBdr>
                <w:top w:val="none" w:sz="0" w:space="0" w:color="auto"/>
                <w:left w:val="none" w:sz="0" w:space="0" w:color="auto"/>
                <w:bottom w:val="none" w:sz="0" w:space="0" w:color="auto"/>
                <w:right w:val="none" w:sz="0" w:space="0" w:color="auto"/>
              </w:divBdr>
            </w:div>
          </w:divsChild>
        </w:div>
        <w:div w:id="1518228368">
          <w:marLeft w:val="0"/>
          <w:marRight w:val="0"/>
          <w:marTop w:val="0"/>
          <w:marBottom w:val="0"/>
          <w:divBdr>
            <w:top w:val="none" w:sz="0" w:space="0" w:color="auto"/>
            <w:left w:val="none" w:sz="0" w:space="0" w:color="auto"/>
            <w:bottom w:val="none" w:sz="0" w:space="0" w:color="auto"/>
            <w:right w:val="none" w:sz="0" w:space="0" w:color="auto"/>
          </w:divBdr>
        </w:div>
        <w:div w:id="1522818699">
          <w:marLeft w:val="0"/>
          <w:marRight w:val="0"/>
          <w:marTop w:val="0"/>
          <w:marBottom w:val="0"/>
          <w:divBdr>
            <w:top w:val="none" w:sz="0" w:space="0" w:color="auto"/>
            <w:left w:val="none" w:sz="0" w:space="0" w:color="auto"/>
            <w:bottom w:val="none" w:sz="0" w:space="0" w:color="auto"/>
            <w:right w:val="none" w:sz="0" w:space="0" w:color="auto"/>
          </w:divBdr>
        </w:div>
        <w:div w:id="1524246768">
          <w:marLeft w:val="0"/>
          <w:marRight w:val="0"/>
          <w:marTop w:val="0"/>
          <w:marBottom w:val="0"/>
          <w:divBdr>
            <w:top w:val="none" w:sz="0" w:space="0" w:color="auto"/>
            <w:left w:val="none" w:sz="0" w:space="0" w:color="auto"/>
            <w:bottom w:val="none" w:sz="0" w:space="0" w:color="auto"/>
            <w:right w:val="none" w:sz="0" w:space="0" w:color="auto"/>
          </w:divBdr>
        </w:div>
        <w:div w:id="1532721108">
          <w:marLeft w:val="0"/>
          <w:marRight w:val="0"/>
          <w:marTop w:val="0"/>
          <w:marBottom w:val="0"/>
          <w:divBdr>
            <w:top w:val="none" w:sz="0" w:space="0" w:color="auto"/>
            <w:left w:val="none" w:sz="0" w:space="0" w:color="auto"/>
            <w:bottom w:val="none" w:sz="0" w:space="0" w:color="auto"/>
            <w:right w:val="none" w:sz="0" w:space="0" w:color="auto"/>
          </w:divBdr>
        </w:div>
        <w:div w:id="1536579087">
          <w:marLeft w:val="0"/>
          <w:marRight w:val="0"/>
          <w:marTop w:val="0"/>
          <w:marBottom w:val="0"/>
          <w:divBdr>
            <w:top w:val="none" w:sz="0" w:space="0" w:color="auto"/>
            <w:left w:val="none" w:sz="0" w:space="0" w:color="auto"/>
            <w:bottom w:val="none" w:sz="0" w:space="0" w:color="auto"/>
            <w:right w:val="none" w:sz="0" w:space="0" w:color="auto"/>
          </w:divBdr>
        </w:div>
        <w:div w:id="1538079835">
          <w:marLeft w:val="0"/>
          <w:marRight w:val="0"/>
          <w:marTop w:val="0"/>
          <w:marBottom w:val="0"/>
          <w:divBdr>
            <w:top w:val="none" w:sz="0" w:space="0" w:color="auto"/>
            <w:left w:val="none" w:sz="0" w:space="0" w:color="auto"/>
            <w:bottom w:val="none" w:sz="0" w:space="0" w:color="auto"/>
            <w:right w:val="none" w:sz="0" w:space="0" w:color="auto"/>
          </w:divBdr>
          <w:divsChild>
            <w:div w:id="170728866">
              <w:marLeft w:val="0"/>
              <w:marRight w:val="0"/>
              <w:marTop w:val="0"/>
              <w:marBottom w:val="0"/>
              <w:divBdr>
                <w:top w:val="none" w:sz="0" w:space="0" w:color="auto"/>
                <w:left w:val="none" w:sz="0" w:space="0" w:color="auto"/>
                <w:bottom w:val="none" w:sz="0" w:space="0" w:color="auto"/>
                <w:right w:val="none" w:sz="0" w:space="0" w:color="auto"/>
              </w:divBdr>
            </w:div>
            <w:div w:id="836311971">
              <w:marLeft w:val="0"/>
              <w:marRight w:val="0"/>
              <w:marTop w:val="0"/>
              <w:marBottom w:val="0"/>
              <w:divBdr>
                <w:top w:val="none" w:sz="0" w:space="0" w:color="auto"/>
                <w:left w:val="none" w:sz="0" w:space="0" w:color="auto"/>
                <w:bottom w:val="none" w:sz="0" w:space="0" w:color="auto"/>
                <w:right w:val="none" w:sz="0" w:space="0" w:color="auto"/>
              </w:divBdr>
            </w:div>
            <w:div w:id="1412384297">
              <w:marLeft w:val="0"/>
              <w:marRight w:val="0"/>
              <w:marTop w:val="0"/>
              <w:marBottom w:val="0"/>
              <w:divBdr>
                <w:top w:val="none" w:sz="0" w:space="0" w:color="auto"/>
                <w:left w:val="none" w:sz="0" w:space="0" w:color="auto"/>
                <w:bottom w:val="none" w:sz="0" w:space="0" w:color="auto"/>
                <w:right w:val="none" w:sz="0" w:space="0" w:color="auto"/>
              </w:divBdr>
            </w:div>
            <w:div w:id="1655522951">
              <w:marLeft w:val="0"/>
              <w:marRight w:val="0"/>
              <w:marTop w:val="0"/>
              <w:marBottom w:val="0"/>
              <w:divBdr>
                <w:top w:val="none" w:sz="0" w:space="0" w:color="auto"/>
                <w:left w:val="none" w:sz="0" w:space="0" w:color="auto"/>
                <w:bottom w:val="none" w:sz="0" w:space="0" w:color="auto"/>
                <w:right w:val="none" w:sz="0" w:space="0" w:color="auto"/>
              </w:divBdr>
            </w:div>
            <w:div w:id="1719821570">
              <w:marLeft w:val="0"/>
              <w:marRight w:val="0"/>
              <w:marTop w:val="0"/>
              <w:marBottom w:val="0"/>
              <w:divBdr>
                <w:top w:val="none" w:sz="0" w:space="0" w:color="auto"/>
                <w:left w:val="none" w:sz="0" w:space="0" w:color="auto"/>
                <w:bottom w:val="none" w:sz="0" w:space="0" w:color="auto"/>
                <w:right w:val="none" w:sz="0" w:space="0" w:color="auto"/>
              </w:divBdr>
            </w:div>
          </w:divsChild>
        </w:div>
        <w:div w:id="1538543112">
          <w:marLeft w:val="0"/>
          <w:marRight w:val="0"/>
          <w:marTop w:val="0"/>
          <w:marBottom w:val="0"/>
          <w:divBdr>
            <w:top w:val="none" w:sz="0" w:space="0" w:color="auto"/>
            <w:left w:val="none" w:sz="0" w:space="0" w:color="auto"/>
            <w:bottom w:val="none" w:sz="0" w:space="0" w:color="auto"/>
            <w:right w:val="none" w:sz="0" w:space="0" w:color="auto"/>
          </w:divBdr>
        </w:div>
        <w:div w:id="1580678334">
          <w:marLeft w:val="0"/>
          <w:marRight w:val="0"/>
          <w:marTop w:val="0"/>
          <w:marBottom w:val="0"/>
          <w:divBdr>
            <w:top w:val="none" w:sz="0" w:space="0" w:color="auto"/>
            <w:left w:val="none" w:sz="0" w:space="0" w:color="auto"/>
            <w:bottom w:val="none" w:sz="0" w:space="0" w:color="auto"/>
            <w:right w:val="none" w:sz="0" w:space="0" w:color="auto"/>
          </w:divBdr>
        </w:div>
        <w:div w:id="1600874689">
          <w:marLeft w:val="0"/>
          <w:marRight w:val="0"/>
          <w:marTop w:val="0"/>
          <w:marBottom w:val="0"/>
          <w:divBdr>
            <w:top w:val="none" w:sz="0" w:space="0" w:color="auto"/>
            <w:left w:val="none" w:sz="0" w:space="0" w:color="auto"/>
            <w:bottom w:val="none" w:sz="0" w:space="0" w:color="auto"/>
            <w:right w:val="none" w:sz="0" w:space="0" w:color="auto"/>
          </w:divBdr>
        </w:div>
        <w:div w:id="1602563919">
          <w:marLeft w:val="0"/>
          <w:marRight w:val="0"/>
          <w:marTop w:val="0"/>
          <w:marBottom w:val="0"/>
          <w:divBdr>
            <w:top w:val="none" w:sz="0" w:space="0" w:color="auto"/>
            <w:left w:val="none" w:sz="0" w:space="0" w:color="auto"/>
            <w:bottom w:val="none" w:sz="0" w:space="0" w:color="auto"/>
            <w:right w:val="none" w:sz="0" w:space="0" w:color="auto"/>
          </w:divBdr>
        </w:div>
        <w:div w:id="1605654760">
          <w:marLeft w:val="0"/>
          <w:marRight w:val="0"/>
          <w:marTop w:val="0"/>
          <w:marBottom w:val="0"/>
          <w:divBdr>
            <w:top w:val="none" w:sz="0" w:space="0" w:color="auto"/>
            <w:left w:val="none" w:sz="0" w:space="0" w:color="auto"/>
            <w:bottom w:val="none" w:sz="0" w:space="0" w:color="auto"/>
            <w:right w:val="none" w:sz="0" w:space="0" w:color="auto"/>
          </w:divBdr>
        </w:div>
        <w:div w:id="1613705164">
          <w:marLeft w:val="0"/>
          <w:marRight w:val="0"/>
          <w:marTop w:val="0"/>
          <w:marBottom w:val="0"/>
          <w:divBdr>
            <w:top w:val="none" w:sz="0" w:space="0" w:color="auto"/>
            <w:left w:val="none" w:sz="0" w:space="0" w:color="auto"/>
            <w:bottom w:val="none" w:sz="0" w:space="0" w:color="auto"/>
            <w:right w:val="none" w:sz="0" w:space="0" w:color="auto"/>
          </w:divBdr>
        </w:div>
        <w:div w:id="1622952827">
          <w:marLeft w:val="0"/>
          <w:marRight w:val="0"/>
          <w:marTop w:val="0"/>
          <w:marBottom w:val="0"/>
          <w:divBdr>
            <w:top w:val="none" w:sz="0" w:space="0" w:color="auto"/>
            <w:left w:val="none" w:sz="0" w:space="0" w:color="auto"/>
            <w:bottom w:val="none" w:sz="0" w:space="0" w:color="auto"/>
            <w:right w:val="none" w:sz="0" w:space="0" w:color="auto"/>
          </w:divBdr>
        </w:div>
        <w:div w:id="1625037404">
          <w:marLeft w:val="0"/>
          <w:marRight w:val="0"/>
          <w:marTop w:val="0"/>
          <w:marBottom w:val="0"/>
          <w:divBdr>
            <w:top w:val="none" w:sz="0" w:space="0" w:color="auto"/>
            <w:left w:val="none" w:sz="0" w:space="0" w:color="auto"/>
            <w:bottom w:val="none" w:sz="0" w:space="0" w:color="auto"/>
            <w:right w:val="none" w:sz="0" w:space="0" w:color="auto"/>
          </w:divBdr>
        </w:div>
        <w:div w:id="1630209145">
          <w:marLeft w:val="0"/>
          <w:marRight w:val="0"/>
          <w:marTop w:val="0"/>
          <w:marBottom w:val="0"/>
          <w:divBdr>
            <w:top w:val="none" w:sz="0" w:space="0" w:color="auto"/>
            <w:left w:val="none" w:sz="0" w:space="0" w:color="auto"/>
            <w:bottom w:val="none" w:sz="0" w:space="0" w:color="auto"/>
            <w:right w:val="none" w:sz="0" w:space="0" w:color="auto"/>
          </w:divBdr>
        </w:div>
        <w:div w:id="1651639610">
          <w:marLeft w:val="0"/>
          <w:marRight w:val="0"/>
          <w:marTop w:val="0"/>
          <w:marBottom w:val="0"/>
          <w:divBdr>
            <w:top w:val="none" w:sz="0" w:space="0" w:color="auto"/>
            <w:left w:val="none" w:sz="0" w:space="0" w:color="auto"/>
            <w:bottom w:val="none" w:sz="0" w:space="0" w:color="auto"/>
            <w:right w:val="none" w:sz="0" w:space="0" w:color="auto"/>
          </w:divBdr>
        </w:div>
        <w:div w:id="1651713433">
          <w:marLeft w:val="0"/>
          <w:marRight w:val="0"/>
          <w:marTop w:val="0"/>
          <w:marBottom w:val="0"/>
          <w:divBdr>
            <w:top w:val="none" w:sz="0" w:space="0" w:color="auto"/>
            <w:left w:val="none" w:sz="0" w:space="0" w:color="auto"/>
            <w:bottom w:val="none" w:sz="0" w:space="0" w:color="auto"/>
            <w:right w:val="none" w:sz="0" w:space="0" w:color="auto"/>
          </w:divBdr>
        </w:div>
        <w:div w:id="1660768181">
          <w:marLeft w:val="0"/>
          <w:marRight w:val="0"/>
          <w:marTop w:val="0"/>
          <w:marBottom w:val="0"/>
          <w:divBdr>
            <w:top w:val="none" w:sz="0" w:space="0" w:color="auto"/>
            <w:left w:val="none" w:sz="0" w:space="0" w:color="auto"/>
            <w:bottom w:val="none" w:sz="0" w:space="0" w:color="auto"/>
            <w:right w:val="none" w:sz="0" w:space="0" w:color="auto"/>
          </w:divBdr>
        </w:div>
        <w:div w:id="1663971263">
          <w:marLeft w:val="0"/>
          <w:marRight w:val="0"/>
          <w:marTop w:val="0"/>
          <w:marBottom w:val="0"/>
          <w:divBdr>
            <w:top w:val="none" w:sz="0" w:space="0" w:color="auto"/>
            <w:left w:val="none" w:sz="0" w:space="0" w:color="auto"/>
            <w:bottom w:val="none" w:sz="0" w:space="0" w:color="auto"/>
            <w:right w:val="none" w:sz="0" w:space="0" w:color="auto"/>
          </w:divBdr>
        </w:div>
        <w:div w:id="1664553997">
          <w:marLeft w:val="0"/>
          <w:marRight w:val="0"/>
          <w:marTop w:val="0"/>
          <w:marBottom w:val="0"/>
          <w:divBdr>
            <w:top w:val="none" w:sz="0" w:space="0" w:color="auto"/>
            <w:left w:val="none" w:sz="0" w:space="0" w:color="auto"/>
            <w:bottom w:val="none" w:sz="0" w:space="0" w:color="auto"/>
            <w:right w:val="none" w:sz="0" w:space="0" w:color="auto"/>
          </w:divBdr>
        </w:div>
        <w:div w:id="1672104735">
          <w:marLeft w:val="0"/>
          <w:marRight w:val="0"/>
          <w:marTop w:val="0"/>
          <w:marBottom w:val="0"/>
          <w:divBdr>
            <w:top w:val="none" w:sz="0" w:space="0" w:color="auto"/>
            <w:left w:val="none" w:sz="0" w:space="0" w:color="auto"/>
            <w:bottom w:val="none" w:sz="0" w:space="0" w:color="auto"/>
            <w:right w:val="none" w:sz="0" w:space="0" w:color="auto"/>
          </w:divBdr>
        </w:div>
        <w:div w:id="1674794627">
          <w:marLeft w:val="0"/>
          <w:marRight w:val="0"/>
          <w:marTop w:val="0"/>
          <w:marBottom w:val="0"/>
          <w:divBdr>
            <w:top w:val="none" w:sz="0" w:space="0" w:color="auto"/>
            <w:left w:val="none" w:sz="0" w:space="0" w:color="auto"/>
            <w:bottom w:val="none" w:sz="0" w:space="0" w:color="auto"/>
            <w:right w:val="none" w:sz="0" w:space="0" w:color="auto"/>
          </w:divBdr>
          <w:divsChild>
            <w:div w:id="517161497">
              <w:marLeft w:val="0"/>
              <w:marRight w:val="0"/>
              <w:marTop w:val="0"/>
              <w:marBottom w:val="0"/>
              <w:divBdr>
                <w:top w:val="none" w:sz="0" w:space="0" w:color="auto"/>
                <w:left w:val="none" w:sz="0" w:space="0" w:color="auto"/>
                <w:bottom w:val="none" w:sz="0" w:space="0" w:color="auto"/>
                <w:right w:val="none" w:sz="0" w:space="0" w:color="auto"/>
              </w:divBdr>
            </w:div>
            <w:div w:id="980621787">
              <w:marLeft w:val="0"/>
              <w:marRight w:val="0"/>
              <w:marTop w:val="0"/>
              <w:marBottom w:val="0"/>
              <w:divBdr>
                <w:top w:val="none" w:sz="0" w:space="0" w:color="auto"/>
                <w:left w:val="none" w:sz="0" w:space="0" w:color="auto"/>
                <w:bottom w:val="none" w:sz="0" w:space="0" w:color="auto"/>
                <w:right w:val="none" w:sz="0" w:space="0" w:color="auto"/>
              </w:divBdr>
            </w:div>
            <w:div w:id="1145008725">
              <w:marLeft w:val="0"/>
              <w:marRight w:val="0"/>
              <w:marTop w:val="0"/>
              <w:marBottom w:val="0"/>
              <w:divBdr>
                <w:top w:val="none" w:sz="0" w:space="0" w:color="auto"/>
                <w:left w:val="none" w:sz="0" w:space="0" w:color="auto"/>
                <w:bottom w:val="none" w:sz="0" w:space="0" w:color="auto"/>
                <w:right w:val="none" w:sz="0" w:space="0" w:color="auto"/>
              </w:divBdr>
            </w:div>
            <w:div w:id="1407605438">
              <w:marLeft w:val="0"/>
              <w:marRight w:val="0"/>
              <w:marTop w:val="0"/>
              <w:marBottom w:val="0"/>
              <w:divBdr>
                <w:top w:val="none" w:sz="0" w:space="0" w:color="auto"/>
                <w:left w:val="none" w:sz="0" w:space="0" w:color="auto"/>
                <w:bottom w:val="none" w:sz="0" w:space="0" w:color="auto"/>
                <w:right w:val="none" w:sz="0" w:space="0" w:color="auto"/>
              </w:divBdr>
            </w:div>
            <w:div w:id="1676959645">
              <w:marLeft w:val="0"/>
              <w:marRight w:val="0"/>
              <w:marTop w:val="0"/>
              <w:marBottom w:val="0"/>
              <w:divBdr>
                <w:top w:val="none" w:sz="0" w:space="0" w:color="auto"/>
                <w:left w:val="none" w:sz="0" w:space="0" w:color="auto"/>
                <w:bottom w:val="none" w:sz="0" w:space="0" w:color="auto"/>
                <w:right w:val="none" w:sz="0" w:space="0" w:color="auto"/>
              </w:divBdr>
            </w:div>
          </w:divsChild>
        </w:div>
        <w:div w:id="1682776906">
          <w:marLeft w:val="0"/>
          <w:marRight w:val="0"/>
          <w:marTop w:val="0"/>
          <w:marBottom w:val="0"/>
          <w:divBdr>
            <w:top w:val="none" w:sz="0" w:space="0" w:color="auto"/>
            <w:left w:val="none" w:sz="0" w:space="0" w:color="auto"/>
            <w:bottom w:val="none" w:sz="0" w:space="0" w:color="auto"/>
            <w:right w:val="none" w:sz="0" w:space="0" w:color="auto"/>
          </w:divBdr>
        </w:div>
        <w:div w:id="1685547844">
          <w:marLeft w:val="0"/>
          <w:marRight w:val="0"/>
          <w:marTop w:val="0"/>
          <w:marBottom w:val="0"/>
          <w:divBdr>
            <w:top w:val="none" w:sz="0" w:space="0" w:color="auto"/>
            <w:left w:val="none" w:sz="0" w:space="0" w:color="auto"/>
            <w:bottom w:val="none" w:sz="0" w:space="0" w:color="auto"/>
            <w:right w:val="none" w:sz="0" w:space="0" w:color="auto"/>
          </w:divBdr>
        </w:div>
        <w:div w:id="1694065927">
          <w:marLeft w:val="0"/>
          <w:marRight w:val="0"/>
          <w:marTop w:val="0"/>
          <w:marBottom w:val="0"/>
          <w:divBdr>
            <w:top w:val="none" w:sz="0" w:space="0" w:color="auto"/>
            <w:left w:val="none" w:sz="0" w:space="0" w:color="auto"/>
            <w:bottom w:val="none" w:sz="0" w:space="0" w:color="auto"/>
            <w:right w:val="none" w:sz="0" w:space="0" w:color="auto"/>
          </w:divBdr>
        </w:div>
        <w:div w:id="1705714620">
          <w:marLeft w:val="0"/>
          <w:marRight w:val="0"/>
          <w:marTop w:val="0"/>
          <w:marBottom w:val="0"/>
          <w:divBdr>
            <w:top w:val="none" w:sz="0" w:space="0" w:color="auto"/>
            <w:left w:val="none" w:sz="0" w:space="0" w:color="auto"/>
            <w:bottom w:val="none" w:sz="0" w:space="0" w:color="auto"/>
            <w:right w:val="none" w:sz="0" w:space="0" w:color="auto"/>
          </w:divBdr>
        </w:div>
        <w:div w:id="1719163907">
          <w:marLeft w:val="0"/>
          <w:marRight w:val="0"/>
          <w:marTop w:val="0"/>
          <w:marBottom w:val="0"/>
          <w:divBdr>
            <w:top w:val="none" w:sz="0" w:space="0" w:color="auto"/>
            <w:left w:val="none" w:sz="0" w:space="0" w:color="auto"/>
            <w:bottom w:val="none" w:sz="0" w:space="0" w:color="auto"/>
            <w:right w:val="none" w:sz="0" w:space="0" w:color="auto"/>
          </w:divBdr>
        </w:div>
        <w:div w:id="1720395347">
          <w:marLeft w:val="0"/>
          <w:marRight w:val="0"/>
          <w:marTop w:val="0"/>
          <w:marBottom w:val="0"/>
          <w:divBdr>
            <w:top w:val="none" w:sz="0" w:space="0" w:color="auto"/>
            <w:left w:val="none" w:sz="0" w:space="0" w:color="auto"/>
            <w:bottom w:val="none" w:sz="0" w:space="0" w:color="auto"/>
            <w:right w:val="none" w:sz="0" w:space="0" w:color="auto"/>
          </w:divBdr>
        </w:div>
        <w:div w:id="1734738908">
          <w:marLeft w:val="0"/>
          <w:marRight w:val="0"/>
          <w:marTop w:val="0"/>
          <w:marBottom w:val="0"/>
          <w:divBdr>
            <w:top w:val="none" w:sz="0" w:space="0" w:color="auto"/>
            <w:left w:val="none" w:sz="0" w:space="0" w:color="auto"/>
            <w:bottom w:val="none" w:sz="0" w:space="0" w:color="auto"/>
            <w:right w:val="none" w:sz="0" w:space="0" w:color="auto"/>
          </w:divBdr>
        </w:div>
        <w:div w:id="1748965517">
          <w:marLeft w:val="0"/>
          <w:marRight w:val="0"/>
          <w:marTop w:val="0"/>
          <w:marBottom w:val="0"/>
          <w:divBdr>
            <w:top w:val="none" w:sz="0" w:space="0" w:color="auto"/>
            <w:left w:val="none" w:sz="0" w:space="0" w:color="auto"/>
            <w:bottom w:val="none" w:sz="0" w:space="0" w:color="auto"/>
            <w:right w:val="none" w:sz="0" w:space="0" w:color="auto"/>
          </w:divBdr>
        </w:div>
        <w:div w:id="1758358542">
          <w:marLeft w:val="0"/>
          <w:marRight w:val="0"/>
          <w:marTop w:val="0"/>
          <w:marBottom w:val="0"/>
          <w:divBdr>
            <w:top w:val="none" w:sz="0" w:space="0" w:color="auto"/>
            <w:left w:val="none" w:sz="0" w:space="0" w:color="auto"/>
            <w:bottom w:val="none" w:sz="0" w:space="0" w:color="auto"/>
            <w:right w:val="none" w:sz="0" w:space="0" w:color="auto"/>
          </w:divBdr>
        </w:div>
        <w:div w:id="1762289770">
          <w:marLeft w:val="0"/>
          <w:marRight w:val="0"/>
          <w:marTop w:val="0"/>
          <w:marBottom w:val="0"/>
          <w:divBdr>
            <w:top w:val="none" w:sz="0" w:space="0" w:color="auto"/>
            <w:left w:val="none" w:sz="0" w:space="0" w:color="auto"/>
            <w:bottom w:val="none" w:sz="0" w:space="0" w:color="auto"/>
            <w:right w:val="none" w:sz="0" w:space="0" w:color="auto"/>
          </w:divBdr>
        </w:div>
        <w:div w:id="1780105729">
          <w:marLeft w:val="0"/>
          <w:marRight w:val="0"/>
          <w:marTop w:val="0"/>
          <w:marBottom w:val="0"/>
          <w:divBdr>
            <w:top w:val="none" w:sz="0" w:space="0" w:color="auto"/>
            <w:left w:val="none" w:sz="0" w:space="0" w:color="auto"/>
            <w:bottom w:val="none" w:sz="0" w:space="0" w:color="auto"/>
            <w:right w:val="none" w:sz="0" w:space="0" w:color="auto"/>
          </w:divBdr>
        </w:div>
        <w:div w:id="1782914548">
          <w:marLeft w:val="0"/>
          <w:marRight w:val="0"/>
          <w:marTop w:val="0"/>
          <w:marBottom w:val="0"/>
          <w:divBdr>
            <w:top w:val="none" w:sz="0" w:space="0" w:color="auto"/>
            <w:left w:val="none" w:sz="0" w:space="0" w:color="auto"/>
            <w:bottom w:val="none" w:sz="0" w:space="0" w:color="auto"/>
            <w:right w:val="none" w:sz="0" w:space="0" w:color="auto"/>
          </w:divBdr>
        </w:div>
        <w:div w:id="1795097229">
          <w:marLeft w:val="0"/>
          <w:marRight w:val="0"/>
          <w:marTop w:val="0"/>
          <w:marBottom w:val="0"/>
          <w:divBdr>
            <w:top w:val="none" w:sz="0" w:space="0" w:color="auto"/>
            <w:left w:val="none" w:sz="0" w:space="0" w:color="auto"/>
            <w:bottom w:val="none" w:sz="0" w:space="0" w:color="auto"/>
            <w:right w:val="none" w:sz="0" w:space="0" w:color="auto"/>
          </w:divBdr>
        </w:div>
        <w:div w:id="1804156302">
          <w:marLeft w:val="0"/>
          <w:marRight w:val="0"/>
          <w:marTop w:val="0"/>
          <w:marBottom w:val="0"/>
          <w:divBdr>
            <w:top w:val="none" w:sz="0" w:space="0" w:color="auto"/>
            <w:left w:val="none" w:sz="0" w:space="0" w:color="auto"/>
            <w:bottom w:val="none" w:sz="0" w:space="0" w:color="auto"/>
            <w:right w:val="none" w:sz="0" w:space="0" w:color="auto"/>
          </w:divBdr>
        </w:div>
        <w:div w:id="1807888338">
          <w:marLeft w:val="0"/>
          <w:marRight w:val="0"/>
          <w:marTop w:val="0"/>
          <w:marBottom w:val="0"/>
          <w:divBdr>
            <w:top w:val="none" w:sz="0" w:space="0" w:color="auto"/>
            <w:left w:val="none" w:sz="0" w:space="0" w:color="auto"/>
            <w:bottom w:val="none" w:sz="0" w:space="0" w:color="auto"/>
            <w:right w:val="none" w:sz="0" w:space="0" w:color="auto"/>
          </w:divBdr>
        </w:div>
        <w:div w:id="1808090090">
          <w:marLeft w:val="0"/>
          <w:marRight w:val="0"/>
          <w:marTop w:val="0"/>
          <w:marBottom w:val="0"/>
          <w:divBdr>
            <w:top w:val="none" w:sz="0" w:space="0" w:color="auto"/>
            <w:left w:val="none" w:sz="0" w:space="0" w:color="auto"/>
            <w:bottom w:val="none" w:sz="0" w:space="0" w:color="auto"/>
            <w:right w:val="none" w:sz="0" w:space="0" w:color="auto"/>
          </w:divBdr>
        </w:div>
        <w:div w:id="1815441365">
          <w:marLeft w:val="0"/>
          <w:marRight w:val="0"/>
          <w:marTop w:val="0"/>
          <w:marBottom w:val="0"/>
          <w:divBdr>
            <w:top w:val="none" w:sz="0" w:space="0" w:color="auto"/>
            <w:left w:val="none" w:sz="0" w:space="0" w:color="auto"/>
            <w:bottom w:val="none" w:sz="0" w:space="0" w:color="auto"/>
            <w:right w:val="none" w:sz="0" w:space="0" w:color="auto"/>
          </w:divBdr>
          <w:divsChild>
            <w:div w:id="107748633">
              <w:marLeft w:val="0"/>
              <w:marRight w:val="0"/>
              <w:marTop w:val="0"/>
              <w:marBottom w:val="0"/>
              <w:divBdr>
                <w:top w:val="none" w:sz="0" w:space="0" w:color="auto"/>
                <w:left w:val="none" w:sz="0" w:space="0" w:color="auto"/>
                <w:bottom w:val="none" w:sz="0" w:space="0" w:color="auto"/>
                <w:right w:val="none" w:sz="0" w:space="0" w:color="auto"/>
              </w:divBdr>
            </w:div>
            <w:div w:id="344751045">
              <w:marLeft w:val="0"/>
              <w:marRight w:val="0"/>
              <w:marTop w:val="0"/>
              <w:marBottom w:val="0"/>
              <w:divBdr>
                <w:top w:val="none" w:sz="0" w:space="0" w:color="auto"/>
                <w:left w:val="none" w:sz="0" w:space="0" w:color="auto"/>
                <w:bottom w:val="none" w:sz="0" w:space="0" w:color="auto"/>
                <w:right w:val="none" w:sz="0" w:space="0" w:color="auto"/>
              </w:divBdr>
            </w:div>
            <w:div w:id="689448635">
              <w:marLeft w:val="0"/>
              <w:marRight w:val="0"/>
              <w:marTop w:val="0"/>
              <w:marBottom w:val="0"/>
              <w:divBdr>
                <w:top w:val="none" w:sz="0" w:space="0" w:color="auto"/>
                <w:left w:val="none" w:sz="0" w:space="0" w:color="auto"/>
                <w:bottom w:val="none" w:sz="0" w:space="0" w:color="auto"/>
                <w:right w:val="none" w:sz="0" w:space="0" w:color="auto"/>
              </w:divBdr>
            </w:div>
            <w:div w:id="1451583976">
              <w:marLeft w:val="0"/>
              <w:marRight w:val="0"/>
              <w:marTop w:val="0"/>
              <w:marBottom w:val="0"/>
              <w:divBdr>
                <w:top w:val="none" w:sz="0" w:space="0" w:color="auto"/>
                <w:left w:val="none" w:sz="0" w:space="0" w:color="auto"/>
                <w:bottom w:val="none" w:sz="0" w:space="0" w:color="auto"/>
                <w:right w:val="none" w:sz="0" w:space="0" w:color="auto"/>
              </w:divBdr>
            </w:div>
          </w:divsChild>
        </w:div>
        <w:div w:id="1815637789">
          <w:marLeft w:val="0"/>
          <w:marRight w:val="0"/>
          <w:marTop w:val="0"/>
          <w:marBottom w:val="0"/>
          <w:divBdr>
            <w:top w:val="none" w:sz="0" w:space="0" w:color="auto"/>
            <w:left w:val="none" w:sz="0" w:space="0" w:color="auto"/>
            <w:bottom w:val="none" w:sz="0" w:space="0" w:color="auto"/>
            <w:right w:val="none" w:sz="0" w:space="0" w:color="auto"/>
          </w:divBdr>
        </w:div>
        <w:div w:id="1820265440">
          <w:marLeft w:val="0"/>
          <w:marRight w:val="0"/>
          <w:marTop w:val="0"/>
          <w:marBottom w:val="0"/>
          <w:divBdr>
            <w:top w:val="none" w:sz="0" w:space="0" w:color="auto"/>
            <w:left w:val="none" w:sz="0" w:space="0" w:color="auto"/>
            <w:bottom w:val="none" w:sz="0" w:space="0" w:color="auto"/>
            <w:right w:val="none" w:sz="0" w:space="0" w:color="auto"/>
          </w:divBdr>
        </w:div>
        <w:div w:id="1827091927">
          <w:marLeft w:val="0"/>
          <w:marRight w:val="0"/>
          <w:marTop w:val="0"/>
          <w:marBottom w:val="0"/>
          <w:divBdr>
            <w:top w:val="none" w:sz="0" w:space="0" w:color="auto"/>
            <w:left w:val="none" w:sz="0" w:space="0" w:color="auto"/>
            <w:bottom w:val="none" w:sz="0" w:space="0" w:color="auto"/>
            <w:right w:val="none" w:sz="0" w:space="0" w:color="auto"/>
          </w:divBdr>
        </w:div>
        <w:div w:id="1830053671">
          <w:marLeft w:val="0"/>
          <w:marRight w:val="0"/>
          <w:marTop w:val="0"/>
          <w:marBottom w:val="0"/>
          <w:divBdr>
            <w:top w:val="none" w:sz="0" w:space="0" w:color="auto"/>
            <w:left w:val="none" w:sz="0" w:space="0" w:color="auto"/>
            <w:bottom w:val="none" w:sz="0" w:space="0" w:color="auto"/>
            <w:right w:val="none" w:sz="0" w:space="0" w:color="auto"/>
          </w:divBdr>
          <w:divsChild>
            <w:div w:id="139228528">
              <w:marLeft w:val="0"/>
              <w:marRight w:val="0"/>
              <w:marTop w:val="0"/>
              <w:marBottom w:val="0"/>
              <w:divBdr>
                <w:top w:val="none" w:sz="0" w:space="0" w:color="auto"/>
                <w:left w:val="none" w:sz="0" w:space="0" w:color="auto"/>
                <w:bottom w:val="none" w:sz="0" w:space="0" w:color="auto"/>
                <w:right w:val="none" w:sz="0" w:space="0" w:color="auto"/>
              </w:divBdr>
            </w:div>
            <w:div w:id="200168707">
              <w:marLeft w:val="0"/>
              <w:marRight w:val="0"/>
              <w:marTop w:val="0"/>
              <w:marBottom w:val="0"/>
              <w:divBdr>
                <w:top w:val="none" w:sz="0" w:space="0" w:color="auto"/>
                <w:left w:val="none" w:sz="0" w:space="0" w:color="auto"/>
                <w:bottom w:val="none" w:sz="0" w:space="0" w:color="auto"/>
                <w:right w:val="none" w:sz="0" w:space="0" w:color="auto"/>
              </w:divBdr>
            </w:div>
            <w:div w:id="614025870">
              <w:marLeft w:val="0"/>
              <w:marRight w:val="0"/>
              <w:marTop w:val="0"/>
              <w:marBottom w:val="0"/>
              <w:divBdr>
                <w:top w:val="none" w:sz="0" w:space="0" w:color="auto"/>
                <w:left w:val="none" w:sz="0" w:space="0" w:color="auto"/>
                <w:bottom w:val="none" w:sz="0" w:space="0" w:color="auto"/>
                <w:right w:val="none" w:sz="0" w:space="0" w:color="auto"/>
              </w:divBdr>
            </w:div>
            <w:div w:id="1498108914">
              <w:marLeft w:val="0"/>
              <w:marRight w:val="0"/>
              <w:marTop w:val="0"/>
              <w:marBottom w:val="0"/>
              <w:divBdr>
                <w:top w:val="none" w:sz="0" w:space="0" w:color="auto"/>
                <w:left w:val="none" w:sz="0" w:space="0" w:color="auto"/>
                <w:bottom w:val="none" w:sz="0" w:space="0" w:color="auto"/>
                <w:right w:val="none" w:sz="0" w:space="0" w:color="auto"/>
              </w:divBdr>
            </w:div>
            <w:div w:id="2030334417">
              <w:marLeft w:val="0"/>
              <w:marRight w:val="0"/>
              <w:marTop w:val="0"/>
              <w:marBottom w:val="0"/>
              <w:divBdr>
                <w:top w:val="none" w:sz="0" w:space="0" w:color="auto"/>
                <w:left w:val="none" w:sz="0" w:space="0" w:color="auto"/>
                <w:bottom w:val="none" w:sz="0" w:space="0" w:color="auto"/>
                <w:right w:val="none" w:sz="0" w:space="0" w:color="auto"/>
              </w:divBdr>
            </w:div>
          </w:divsChild>
        </w:div>
        <w:div w:id="1846093572">
          <w:marLeft w:val="0"/>
          <w:marRight w:val="0"/>
          <w:marTop w:val="0"/>
          <w:marBottom w:val="0"/>
          <w:divBdr>
            <w:top w:val="none" w:sz="0" w:space="0" w:color="auto"/>
            <w:left w:val="none" w:sz="0" w:space="0" w:color="auto"/>
            <w:bottom w:val="none" w:sz="0" w:space="0" w:color="auto"/>
            <w:right w:val="none" w:sz="0" w:space="0" w:color="auto"/>
          </w:divBdr>
        </w:div>
        <w:div w:id="1848521677">
          <w:marLeft w:val="0"/>
          <w:marRight w:val="0"/>
          <w:marTop w:val="0"/>
          <w:marBottom w:val="0"/>
          <w:divBdr>
            <w:top w:val="none" w:sz="0" w:space="0" w:color="auto"/>
            <w:left w:val="none" w:sz="0" w:space="0" w:color="auto"/>
            <w:bottom w:val="none" w:sz="0" w:space="0" w:color="auto"/>
            <w:right w:val="none" w:sz="0" w:space="0" w:color="auto"/>
          </w:divBdr>
        </w:div>
        <w:div w:id="1853645175">
          <w:marLeft w:val="0"/>
          <w:marRight w:val="0"/>
          <w:marTop w:val="0"/>
          <w:marBottom w:val="0"/>
          <w:divBdr>
            <w:top w:val="none" w:sz="0" w:space="0" w:color="auto"/>
            <w:left w:val="none" w:sz="0" w:space="0" w:color="auto"/>
            <w:bottom w:val="none" w:sz="0" w:space="0" w:color="auto"/>
            <w:right w:val="none" w:sz="0" w:space="0" w:color="auto"/>
          </w:divBdr>
        </w:div>
        <w:div w:id="1862620685">
          <w:marLeft w:val="0"/>
          <w:marRight w:val="0"/>
          <w:marTop w:val="0"/>
          <w:marBottom w:val="0"/>
          <w:divBdr>
            <w:top w:val="none" w:sz="0" w:space="0" w:color="auto"/>
            <w:left w:val="none" w:sz="0" w:space="0" w:color="auto"/>
            <w:bottom w:val="none" w:sz="0" w:space="0" w:color="auto"/>
            <w:right w:val="none" w:sz="0" w:space="0" w:color="auto"/>
          </w:divBdr>
        </w:div>
        <w:div w:id="1873225813">
          <w:marLeft w:val="0"/>
          <w:marRight w:val="0"/>
          <w:marTop w:val="0"/>
          <w:marBottom w:val="0"/>
          <w:divBdr>
            <w:top w:val="none" w:sz="0" w:space="0" w:color="auto"/>
            <w:left w:val="none" w:sz="0" w:space="0" w:color="auto"/>
            <w:bottom w:val="none" w:sz="0" w:space="0" w:color="auto"/>
            <w:right w:val="none" w:sz="0" w:space="0" w:color="auto"/>
          </w:divBdr>
        </w:div>
        <w:div w:id="1885218305">
          <w:marLeft w:val="0"/>
          <w:marRight w:val="0"/>
          <w:marTop w:val="0"/>
          <w:marBottom w:val="0"/>
          <w:divBdr>
            <w:top w:val="none" w:sz="0" w:space="0" w:color="auto"/>
            <w:left w:val="none" w:sz="0" w:space="0" w:color="auto"/>
            <w:bottom w:val="none" w:sz="0" w:space="0" w:color="auto"/>
            <w:right w:val="none" w:sz="0" w:space="0" w:color="auto"/>
          </w:divBdr>
        </w:div>
        <w:div w:id="1890342794">
          <w:marLeft w:val="0"/>
          <w:marRight w:val="0"/>
          <w:marTop w:val="0"/>
          <w:marBottom w:val="0"/>
          <w:divBdr>
            <w:top w:val="none" w:sz="0" w:space="0" w:color="auto"/>
            <w:left w:val="none" w:sz="0" w:space="0" w:color="auto"/>
            <w:bottom w:val="none" w:sz="0" w:space="0" w:color="auto"/>
            <w:right w:val="none" w:sz="0" w:space="0" w:color="auto"/>
          </w:divBdr>
        </w:div>
        <w:div w:id="1892688481">
          <w:marLeft w:val="0"/>
          <w:marRight w:val="0"/>
          <w:marTop w:val="0"/>
          <w:marBottom w:val="0"/>
          <w:divBdr>
            <w:top w:val="none" w:sz="0" w:space="0" w:color="auto"/>
            <w:left w:val="none" w:sz="0" w:space="0" w:color="auto"/>
            <w:bottom w:val="none" w:sz="0" w:space="0" w:color="auto"/>
            <w:right w:val="none" w:sz="0" w:space="0" w:color="auto"/>
          </w:divBdr>
        </w:div>
        <w:div w:id="1898320535">
          <w:marLeft w:val="0"/>
          <w:marRight w:val="0"/>
          <w:marTop w:val="0"/>
          <w:marBottom w:val="0"/>
          <w:divBdr>
            <w:top w:val="none" w:sz="0" w:space="0" w:color="auto"/>
            <w:left w:val="none" w:sz="0" w:space="0" w:color="auto"/>
            <w:bottom w:val="none" w:sz="0" w:space="0" w:color="auto"/>
            <w:right w:val="none" w:sz="0" w:space="0" w:color="auto"/>
          </w:divBdr>
        </w:div>
        <w:div w:id="1902204939">
          <w:marLeft w:val="0"/>
          <w:marRight w:val="0"/>
          <w:marTop w:val="0"/>
          <w:marBottom w:val="0"/>
          <w:divBdr>
            <w:top w:val="none" w:sz="0" w:space="0" w:color="auto"/>
            <w:left w:val="none" w:sz="0" w:space="0" w:color="auto"/>
            <w:bottom w:val="none" w:sz="0" w:space="0" w:color="auto"/>
            <w:right w:val="none" w:sz="0" w:space="0" w:color="auto"/>
          </w:divBdr>
        </w:div>
        <w:div w:id="1903559037">
          <w:marLeft w:val="0"/>
          <w:marRight w:val="0"/>
          <w:marTop w:val="0"/>
          <w:marBottom w:val="0"/>
          <w:divBdr>
            <w:top w:val="none" w:sz="0" w:space="0" w:color="auto"/>
            <w:left w:val="none" w:sz="0" w:space="0" w:color="auto"/>
            <w:bottom w:val="none" w:sz="0" w:space="0" w:color="auto"/>
            <w:right w:val="none" w:sz="0" w:space="0" w:color="auto"/>
          </w:divBdr>
        </w:div>
        <w:div w:id="1912537494">
          <w:marLeft w:val="0"/>
          <w:marRight w:val="0"/>
          <w:marTop w:val="0"/>
          <w:marBottom w:val="0"/>
          <w:divBdr>
            <w:top w:val="none" w:sz="0" w:space="0" w:color="auto"/>
            <w:left w:val="none" w:sz="0" w:space="0" w:color="auto"/>
            <w:bottom w:val="none" w:sz="0" w:space="0" w:color="auto"/>
            <w:right w:val="none" w:sz="0" w:space="0" w:color="auto"/>
          </w:divBdr>
        </w:div>
        <w:div w:id="1913349788">
          <w:marLeft w:val="0"/>
          <w:marRight w:val="0"/>
          <w:marTop w:val="0"/>
          <w:marBottom w:val="0"/>
          <w:divBdr>
            <w:top w:val="none" w:sz="0" w:space="0" w:color="auto"/>
            <w:left w:val="none" w:sz="0" w:space="0" w:color="auto"/>
            <w:bottom w:val="none" w:sz="0" w:space="0" w:color="auto"/>
            <w:right w:val="none" w:sz="0" w:space="0" w:color="auto"/>
          </w:divBdr>
        </w:div>
        <w:div w:id="1923224114">
          <w:marLeft w:val="0"/>
          <w:marRight w:val="0"/>
          <w:marTop w:val="0"/>
          <w:marBottom w:val="0"/>
          <w:divBdr>
            <w:top w:val="none" w:sz="0" w:space="0" w:color="auto"/>
            <w:left w:val="none" w:sz="0" w:space="0" w:color="auto"/>
            <w:bottom w:val="none" w:sz="0" w:space="0" w:color="auto"/>
            <w:right w:val="none" w:sz="0" w:space="0" w:color="auto"/>
          </w:divBdr>
        </w:div>
        <w:div w:id="1935242365">
          <w:marLeft w:val="0"/>
          <w:marRight w:val="0"/>
          <w:marTop w:val="0"/>
          <w:marBottom w:val="0"/>
          <w:divBdr>
            <w:top w:val="none" w:sz="0" w:space="0" w:color="auto"/>
            <w:left w:val="none" w:sz="0" w:space="0" w:color="auto"/>
            <w:bottom w:val="none" w:sz="0" w:space="0" w:color="auto"/>
            <w:right w:val="none" w:sz="0" w:space="0" w:color="auto"/>
          </w:divBdr>
        </w:div>
        <w:div w:id="1940260262">
          <w:marLeft w:val="0"/>
          <w:marRight w:val="0"/>
          <w:marTop w:val="0"/>
          <w:marBottom w:val="0"/>
          <w:divBdr>
            <w:top w:val="none" w:sz="0" w:space="0" w:color="auto"/>
            <w:left w:val="none" w:sz="0" w:space="0" w:color="auto"/>
            <w:bottom w:val="none" w:sz="0" w:space="0" w:color="auto"/>
            <w:right w:val="none" w:sz="0" w:space="0" w:color="auto"/>
          </w:divBdr>
        </w:div>
        <w:div w:id="1945191271">
          <w:marLeft w:val="0"/>
          <w:marRight w:val="0"/>
          <w:marTop w:val="0"/>
          <w:marBottom w:val="0"/>
          <w:divBdr>
            <w:top w:val="none" w:sz="0" w:space="0" w:color="auto"/>
            <w:left w:val="none" w:sz="0" w:space="0" w:color="auto"/>
            <w:bottom w:val="none" w:sz="0" w:space="0" w:color="auto"/>
            <w:right w:val="none" w:sz="0" w:space="0" w:color="auto"/>
          </w:divBdr>
        </w:div>
        <w:div w:id="1947499908">
          <w:marLeft w:val="0"/>
          <w:marRight w:val="0"/>
          <w:marTop w:val="0"/>
          <w:marBottom w:val="0"/>
          <w:divBdr>
            <w:top w:val="none" w:sz="0" w:space="0" w:color="auto"/>
            <w:left w:val="none" w:sz="0" w:space="0" w:color="auto"/>
            <w:bottom w:val="none" w:sz="0" w:space="0" w:color="auto"/>
            <w:right w:val="none" w:sz="0" w:space="0" w:color="auto"/>
          </w:divBdr>
        </w:div>
        <w:div w:id="1969965728">
          <w:marLeft w:val="0"/>
          <w:marRight w:val="0"/>
          <w:marTop w:val="0"/>
          <w:marBottom w:val="0"/>
          <w:divBdr>
            <w:top w:val="none" w:sz="0" w:space="0" w:color="auto"/>
            <w:left w:val="none" w:sz="0" w:space="0" w:color="auto"/>
            <w:bottom w:val="none" w:sz="0" w:space="0" w:color="auto"/>
            <w:right w:val="none" w:sz="0" w:space="0" w:color="auto"/>
          </w:divBdr>
          <w:divsChild>
            <w:div w:id="71634248">
              <w:marLeft w:val="0"/>
              <w:marRight w:val="0"/>
              <w:marTop w:val="0"/>
              <w:marBottom w:val="0"/>
              <w:divBdr>
                <w:top w:val="none" w:sz="0" w:space="0" w:color="auto"/>
                <w:left w:val="none" w:sz="0" w:space="0" w:color="auto"/>
                <w:bottom w:val="none" w:sz="0" w:space="0" w:color="auto"/>
                <w:right w:val="none" w:sz="0" w:space="0" w:color="auto"/>
              </w:divBdr>
            </w:div>
            <w:div w:id="343943913">
              <w:marLeft w:val="0"/>
              <w:marRight w:val="0"/>
              <w:marTop w:val="0"/>
              <w:marBottom w:val="0"/>
              <w:divBdr>
                <w:top w:val="none" w:sz="0" w:space="0" w:color="auto"/>
                <w:left w:val="none" w:sz="0" w:space="0" w:color="auto"/>
                <w:bottom w:val="none" w:sz="0" w:space="0" w:color="auto"/>
                <w:right w:val="none" w:sz="0" w:space="0" w:color="auto"/>
              </w:divBdr>
            </w:div>
            <w:div w:id="441263893">
              <w:marLeft w:val="0"/>
              <w:marRight w:val="0"/>
              <w:marTop w:val="0"/>
              <w:marBottom w:val="0"/>
              <w:divBdr>
                <w:top w:val="none" w:sz="0" w:space="0" w:color="auto"/>
                <w:left w:val="none" w:sz="0" w:space="0" w:color="auto"/>
                <w:bottom w:val="none" w:sz="0" w:space="0" w:color="auto"/>
                <w:right w:val="none" w:sz="0" w:space="0" w:color="auto"/>
              </w:divBdr>
            </w:div>
            <w:div w:id="469716544">
              <w:marLeft w:val="0"/>
              <w:marRight w:val="0"/>
              <w:marTop w:val="0"/>
              <w:marBottom w:val="0"/>
              <w:divBdr>
                <w:top w:val="none" w:sz="0" w:space="0" w:color="auto"/>
                <w:left w:val="none" w:sz="0" w:space="0" w:color="auto"/>
                <w:bottom w:val="none" w:sz="0" w:space="0" w:color="auto"/>
                <w:right w:val="none" w:sz="0" w:space="0" w:color="auto"/>
              </w:divBdr>
            </w:div>
            <w:div w:id="2054231495">
              <w:marLeft w:val="0"/>
              <w:marRight w:val="0"/>
              <w:marTop w:val="0"/>
              <w:marBottom w:val="0"/>
              <w:divBdr>
                <w:top w:val="none" w:sz="0" w:space="0" w:color="auto"/>
                <w:left w:val="none" w:sz="0" w:space="0" w:color="auto"/>
                <w:bottom w:val="none" w:sz="0" w:space="0" w:color="auto"/>
                <w:right w:val="none" w:sz="0" w:space="0" w:color="auto"/>
              </w:divBdr>
            </w:div>
          </w:divsChild>
        </w:div>
        <w:div w:id="1970281169">
          <w:marLeft w:val="0"/>
          <w:marRight w:val="0"/>
          <w:marTop w:val="0"/>
          <w:marBottom w:val="0"/>
          <w:divBdr>
            <w:top w:val="none" w:sz="0" w:space="0" w:color="auto"/>
            <w:left w:val="none" w:sz="0" w:space="0" w:color="auto"/>
            <w:bottom w:val="none" w:sz="0" w:space="0" w:color="auto"/>
            <w:right w:val="none" w:sz="0" w:space="0" w:color="auto"/>
          </w:divBdr>
        </w:div>
        <w:div w:id="1973711464">
          <w:marLeft w:val="0"/>
          <w:marRight w:val="0"/>
          <w:marTop w:val="0"/>
          <w:marBottom w:val="0"/>
          <w:divBdr>
            <w:top w:val="none" w:sz="0" w:space="0" w:color="auto"/>
            <w:left w:val="none" w:sz="0" w:space="0" w:color="auto"/>
            <w:bottom w:val="none" w:sz="0" w:space="0" w:color="auto"/>
            <w:right w:val="none" w:sz="0" w:space="0" w:color="auto"/>
          </w:divBdr>
        </w:div>
        <w:div w:id="1978413553">
          <w:marLeft w:val="0"/>
          <w:marRight w:val="0"/>
          <w:marTop w:val="0"/>
          <w:marBottom w:val="0"/>
          <w:divBdr>
            <w:top w:val="none" w:sz="0" w:space="0" w:color="auto"/>
            <w:left w:val="none" w:sz="0" w:space="0" w:color="auto"/>
            <w:bottom w:val="none" w:sz="0" w:space="0" w:color="auto"/>
            <w:right w:val="none" w:sz="0" w:space="0" w:color="auto"/>
          </w:divBdr>
        </w:div>
        <w:div w:id="1983391424">
          <w:marLeft w:val="0"/>
          <w:marRight w:val="0"/>
          <w:marTop w:val="0"/>
          <w:marBottom w:val="0"/>
          <w:divBdr>
            <w:top w:val="none" w:sz="0" w:space="0" w:color="auto"/>
            <w:left w:val="none" w:sz="0" w:space="0" w:color="auto"/>
            <w:bottom w:val="none" w:sz="0" w:space="0" w:color="auto"/>
            <w:right w:val="none" w:sz="0" w:space="0" w:color="auto"/>
          </w:divBdr>
        </w:div>
        <w:div w:id="1985311759">
          <w:marLeft w:val="0"/>
          <w:marRight w:val="0"/>
          <w:marTop w:val="0"/>
          <w:marBottom w:val="0"/>
          <w:divBdr>
            <w:top w:val="none" w:sz="0" w:space="0" w:color="auto"/>
            <w:left w:val="none" w:sz="0" w:space="0" w:color="auto"/>
            <w:bottom w:val="none" w:sz="0" w:space="0" w:color="auto"/>
            <w:right w:val="none" w:sz="0" w:space="0" w:color="auto"/>
          </w:divBdr>
        </w:div>
        <w:div w:id="1988589364">
          <w:marLeft w:val="0"/>
          <w:marRight w:val="0"/>
          <w:marTop w:val="0"/>
          <w:marBottom w:val="0"/>
          <w:divBdr>
            <w:top w:val="none" w:sz="0" w:space="0" w:color="auto"/>
            <w:left w:val="none" w:sz="0" w:space="0" w:color="auto"/>
            <w:bottom w:val="none" w:sz="0" w:space="0" w:color="auto"/>
            <w:right w:val="none" w:sz="0" w:space="0" w:color="auto"/>
          </w:divBdr>
        </w:div>
        <w:div w:id="1991252399">
          <w:marLeft w:val="0"/>
          <w:marRight w:val="0"/>
          <w:marTop w:val="0"/>
          <w:marBottom w:val="0"/>
          <w:divBdr>
            <w:top w:val="none" w:sz="0" w:space="0" w:color="auto"/>
            <w:left w:val="none" w:sz="0" w:space="0" w:color="auto"/>
            <w:bottom w:val="none" w:sz="0" w:space="0" w:color="auto"/>
            <w:right w:val="none" w:sz="0" w:space="0" w:color="auto"/>
          </w:divBdr>
        </w:div>
        <w:div w:id="2009478538">
          <w:marLeft w:val="0"/>
          <w:marRight w:val="0"/>
          <w:marTop w:val="0"/>
          <w:marBottom w:val="0"/>
          <w:divBdr>
            <w:top w:val="none" w:sz="0" w:space="0" w:color="auto"/>
            <w:left w:val="none" w:sz="0" w:space="0" w:color="auto"/>
            <w:bottom w:val="none" w:sz="0" w:space="0" w:color="auto"/>
            <w:right w:val="none" w:sz="0" w:space="0" w:color="auto"/>
          </w:divBdr>
        </w:div>
        <w:div w:id="2031643545">
          <w:marLeft w:val="0"/>
          <w:marRight w:val="0"/>
          <w:marTop w:val="0"/>
          <w:marBottom w:val="0"/>
          <w:divBdr>
            <w:top w:val="none" w:sz="0" w:space="0" w:color="auto"/>
            <w:left w:val="none" w:sz="0" w:space="0" w:color="auto"/>
            <w:bottom w:val="none" w:sz="0" w:space="0" w:color="auto"/>
            <w:right w:val="none" w:sz="0" w:space="0" w:color="auto"/>
          </w:divBdr>
        </w:div>
        <w:div w:id="2031953268">
          <w:marLeft w:val="0"/>
          <w:marRight w:val="0"/>
          <w:marTop w:val="0"/>
          <w:marBottom w:val="0"/>
          <w:divBdr>
            <w:top w:val="none" w:sz="0" w:space="0" w:color="auto"/>
            <w:left w:val="none" w:sz="0" w:space="0" w:color="auto"/>
            <w:bottom w:val="none" w:sz="0" w:space="0" w:color="auto"/>
            <w:right w:val="none" w:sz="0" w:space="0" w:color="auto"/>
          </w:divBdr>
        </w:div>
        <w:div w:id="2032296584">
          <w:marLeft w:val="0"/>
          <w:marRight w:val="0"/>
          <w:marTop w:val="0"/>
          <w:marBottom w:val="0"/>
          <w:divBdr>
            <w:top w:val="none" w:sz="0" w:space="0" w:color="auto"/>
            <w:left w:val="none" w:sz="0" w:space="0" w:color="auto"/>
            <w:bottom w:val="none" w:sz="0" w:space="0" w:color="auto"/>
            <w:right w:val="none" w:sz="0" w:space="0" w:color="auto"/>
          </w:divBdr>
        </w:div>
        <w:div w:id="2034263553">
          <w:marLeft w:val="0"/>
          <w:marRight w:val="0"/>
          <w:marTop w:val="0"/>
          <w:marBottom w:val="0"/>
          <w:divBdr>
            <w:top w:val="none" w:sz="0" w:space="0" w:color="auto"/>
            <w:left w:val="none" w:sz="0" w:space="0" w:color="auto"/>
            <w:bottom w:val="none" w:sz="0" w:space="0" w:color="auto"/>
            <w:right w:val="none" w:sz="0" w:space="0" w:color="auto"/>
          </w:divBdr>
        </w:div>
        <w:div w:id="2057701363">
          <w:marLeft w:val="0"/>
          <w:marRight w:val="0"/>
          <w:marTop w:val="0"/>
          <w:marBottom w:val="0"/>
          <w:divBdr>
            <w:top w:val="none" w:sz="0" w:space="0" w:color="auto"/>
            <w:left w:val="none" w:sz="0" w:space="0" w:color="auto"/>
            <w:bottom w:val="none" w:sz="0" w:space="0" w:color="auto"/>
            <w:right w:val="none" w:sz="0" w:space="0" w:color="auto"/>
          </w:divBdr>
        </w:div>
        <w:div w:id="2062555605">
          <w:marLeft w:val="0"/>
          <w:marRight w:val="0"/>
          <w:marTop w:val="0"/>
          <w:marBottom w:val="0"/>
          <w:divBdr>
            <w:top w:val="none" w:sz="0" w:space="0" w:color="auto"/>
            <w:left w:val="none" w:sz="0" w:space="0" w:color="auto"/>
            <w:bottom w:val="none" w:sz="0" w:space="0" w:color="auto"/>
            <w:right w:val="none" w:sz="0" w:space="0" w:color="auto"/>
          </w:divBdr>
        </w:div>
        <w:div w:id="2066678033">
          <w:marLeft w:val="0"/>
          <w:marRight w:val="0"/>
          <w:marTop w:val="0"/>
          <w:marBottom w:val="0"/>
          <w:divBdr>
            <w:top w:val="none" w:sz="0" w:space="0" w:color="auto"/>
            <w:left w:val="none" w:sz="0" w:space="0" w:color="auto"/>
            <w:bottom w:val="none" w:sz="0" w:space="0" w:color="auto"/>
            <w:right w:val="none" w:sz="0" w:space="0" w:color="auto"/>
          </w:divBdr>
        </w:div>
        <w:div w:id="2088334031">
          <w:marLeft w:val="0"/>
          <w:marRight w:val="0"/>
          <w:marTop w:val="0"/>
          <w:marBottom w:val="0"/>
          <w:divBdr>
            <w:top w:val="none" w:sz="0" w:space="0" w:color="auto"/>
            <w:left w:val="none" w:sz="0" w:space="0" w:color="auto"/>
            <w:bottom w:val="none" w:sz="0" w:space="0" w:color="auto"/>
            <w:right w:val="none" w:sz="0" w:space="0" w:color="auto"/>
          </w:divBdr>
        </w:div>
        <w:div w:id="2090076815">
          <w:marLeft w:val="0"/>
          <w:marRight w:val="0"/>
          <w:marTop w:val="0"/>
          <w:marBottom w:val="0"/>
          <w:divBdr>
            <w:top w:val="none" w:sz="0" w:space="0" w:color="auto"/>
            <w:left w:val="none" w:sz="0" w:space="0" w:color="auto"/>
            <w:bottom w:val="none" w:sz="0" w:space="0" w:color="auto"/>
            <w:right w:val="none" w:sz="0" w:space="0" w:color="auto"/>
          </w:divBdr>
        </w:div>
        <w:div w:id="2099208167">
          <w:marLeft w:val="0"/>
          <w:marRight w:val="0"/>
          <w:marTop w:val="0"/>
          <w:marBottom w:val="0"/>
          <w:divBdr>
            <w:top w:val="none" w:sz="0" w:space="0" w:color="auto"/>
            <w:left w:val="none" w:sz="0" w:space="0" w:color="auto"/>
            <w:bottom w:val="none" w:sz="0" w:space="0" w:color="auto"/>
            <w:right w:val="none" w:sz="0" w:space="0" w:color="auto"/>
          </w:divBdr>
        </w:div>
        <w:div w:id="2102945963">
          <w:marLeft w:val="0"/>
          <w:marRight w:val="0"/>
          <w:marTop w:val="0"/>
          <w:marBottom w:val="0"/>
          <w:divBdr>
            <w:top w:val="none" w:sz="0" w:space="0" w:color="auto"/>
            <w:left w:val="none" w:sz="0" w:space="0" w:color="auto"/>
            <w:bottom w:val="none" w:sz="0" w:space="0" w:color="auto"/>
            <w:right w:val="none" w:sz="0" w:space="0" w:color="auto"/>
          </w:divBdr>
        </w:div>
        <w:div w:id="2104832762">
          <w:marLeft w:val="0"/>
          <w:marRight w:val="0"/>
          <w:marTop w:val="0"/>
          <w:marBottom w:val="0"/>
          <w:divBdr>
            <w:top w:val="none" w:sz="0" w:space="0" w:color="auto"/>
            <w:left w:val="none" w:sz="0" w:space="0" w:color="auto"/>
            <w:bottom w:val="none" w:sz="0" w:space="0" w:color="auto"/>
            <w:right w:val="none" w:sz="0" w:space="0" w:color="auto"/>
          </w:divBdr>
        </w:div>
        <w:div w:id="2115785486">
          <w:marLeft w:val="0"/>
          <w:marRight w:val="0"/>
          <w:marTop w:val="0"/>
          <w:marBottom w:val="0"/>
          <w:divBdr>
            <w:top w:val="none" w:sz="0" w:space="0" w:color="auto"/>
            <w:left w:val="none" w:sz="0" w:space="0" w:color="auto"/>
            <w:bottom w:val="none" w:sz="0" w:space="0" w:color="auto"/>
            <w:right w:val="none" w:sz="0" w:space="0" w:color="auto"/>
          </w:divBdr>
        </w:div>
        <w:div w:id="2144958768">
          <w:marLeft w:val="0"/>
          <w:marRight w:val="0"/>
          <w:marTop w:val="0"/>
          <w:marBottom w:val="0"/>
          <w:divBdr>
            <w:top w:val="none" w:sz="0" w:space="0" w:color="auto"/>
            <w:left w:val="none" w:sz="0" w:space="0" w:color="auto"/>
            <w:bottom w:val="none" w:sz="0" w:space="0" w:color="auto"/>
            <w:right w:val="none" w:sz="0" w:space="0" w:color="auto"/>
          </w:divBdr>
          <w:divsChild>
            <w:div w:id="273560449">
              <w:marLeft w:val="0"/>
              <w:marRight w:val="0"/>
              <w:marTop w:val="0"/>
              <w:marBottom w:val="0"/>
              <w:divBdr>
                <w:top w:val="none" w:sz="0" w:space="0" w:color="auto"/>
                <w:left w:val="none" w:sz="0" w:space="0" w:color="auto"/>
                <w:bottom w:val="none" w:sz="0" w:space="0" w:color="auto"/>
                <w:right w:val="none" w:sz="0" w:space="0" w:color="auto"/>
              </w:divBdr>
              <w:divsChild>
                <w:div w:id="1332371670">
                  <w:marLeft w:val="-75"/>
                  <w:marRight w:val="0"/>
                  <w:marTop w:val="30"/>
                  <w:marBottom w:val="30"/>
                  <w:divBdr>
                    <w:top w:val="none" w:sz="0" w:space="0" w:color="auto"/>
                    <w:left w:val="none" w:sz="0" w:space="0" w:color="auto"/>
                    <w:bottom w:val="none" w:sz="0" w:space="0" w:color="auto"/>
                    <w:right w:val="none" w:sz="0" w:space="0" w:color="auto"/>
                  </w:divBdr>
                  <w:divsChild>
                    <w:div w:id="1279222652">
                      <w:marLeft w:val="0"/>
                      <w:marRight w:val="0"/>
                      <w:marTop w:val="0"/>
                      <w:marBottom w:val="0"/>
                      <w:divBdr>
                        <w:top w:val="none" w:sz="0" w:space="0" w:color="auto"/>
                        <w:left w:val="none" w:sz="0" w:space="0" w:color="auto"/>
                        <w:bottom w:val="none" w:sz="0" w:space="0" w:color="auto"/>
                        <w:right w:val="none" w:sz="0" w:space="0" w:color="auto"/>
                      </w:divBdr>
                      <w:divsChild>
                        <w:div w:id="1834567036">
                          <w:marLeft w:val="0"/>
                          <w:marRight w:val="0"/>
                          <w:marTop w:val="0"/>
                          <w:marBottom w:val="0"/>
                          <w:divBdr>
                            <w:top w:val="none" w:sz="0" w:space="0" w:color="auto"/>
                            <w:left w:val="none" w:sz="0" w:space="0" w:color="auto"/>
                            <w:bottom w:val="none" w:sz="0" w:space="0" w:color="auto"/>
                            <w:right w:val="none" w:sz="0" w:space="0" w:color="auto"/>
                          </w:divBdr>
                        </w:div>
                      </w:divsChild>
                    </w:div>
                    <w:div w:id="1588921200">
                      <w:marLeft w:val="0"/>
                      <w:marRight w:val="0"/>
                      <w:marTop w:val="0"/>
                      <w:marBottom w:val="0"/>
                      <w:divBdr>
                        <w:top w:val="none" w:sz="0" w:space="0" w:color="auto"/>
                        <w:left w:val="none" w:sz="0" w:space="0" w:color="auto"/>
                        <w:bottom w:val="none" w:sz="0" w:space="0" w:color="auto"/>
                        <w:right w:val="none" w:sz="0" w:space="0" w:color="auto"/>
                      </w:divBdr>
                      <w:divsChild>
                        <w:div w:id="1664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0697">
              <w:marLeft w:val="0"/>
              <w:marRight w:val="0"/>
              <w:marTop w:val="0"/>
              <w:marBottom w:val="0"/>
              <w:divBdr>
                <w:top w:val="none" w:sz="0" w:space="0" w:color="auto"/>
                <w:left w:val="none" w:sz="0" w:space="0" w:color="auto"/>
                <w:bottom w:val="none" w:sz="0" w:space="0" w:color="auto"/>
                <w:right w:val="none" w:sz="0" w:space="0" w:color="auto"/>
              </w:divBdr>
            </w:div>
            <w:div w:id="523835381">
              <w:marLeft w:val="0"/>
              <w:marRight w:val="0"/>
              <w:marTop w:val="0"/>
              <w:marBottom w:val="0"/>
              <w:divBdr>
                <w:top w:val="none" w:sz="0" w:space="0" w:color="auto"/>
                <w:left w:val="none" w:sz="0" w:space="0" w:color="auto"/>
                <w:bottom w:val="none" w:sz="0" w:space="0" w:color="auto"/>
                <w:right w:val="none" w:sz="0" w:space="0" w:color="auto"/>
              </w:divBdr>
            </w:div>
            <w:div w:id="659189535">
              <w:marLeft w:val="0"/>
              <w:marRight w:val="0"/>
              <w:marTop w:val="0"/>
              <w:marBottom w:val="0"/>
              <w:divBdr>
                <w:top w:val="none" w:sz="0" w:space="0" w:color="auto"/>
                <w:left w:val="none" w:sz="0" w:space="0" w:color="auto"/>
                <w:bottom w:val="none" w:sz="0" w:space="0" w:color="auto"/>
                <w:right w:val="none" w:sz="0" w:space="0" w:color="auto"/>
              </w:divBdr>
            </w:div>
            <w:div w:id="10540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climateaction100.org/" TargetMode="External"/><Relationship Id="rId26" Type="http://schemas.openxmlformats.org/officeDocument/2006/relationships/hyperlink" Target="https://www.unpri.org/policy/a-legal-framework-for-impact/4519.article" TargetMode="External"/><Relationship Id="rId39" Type="http://schemas.openxmlformats.org/officeDocument/2006/relationships/hyperlink" Target="https://www.gov.uk/government/publications/guidance-on-environmental-sustainability-agreements" TargetMode="External"/><Relationship Id="rId21" Type="http://schemas.openxmlformats.org/officeDocument/2006/relationships/hyperlink" Target="https://www.unepfi.org/wordpress/wp-content/uploads/2021/04/16-Elevating-Climate-Diligence-2.pdf" TargetMode="External"/><Relationship Id="rId34" Type="http://schemas.openxmlformats.org/officeDocument/2006/relationships/hyperlink" Target="https://eur-lex.europa.eu/legal-content/EN/TXT/PDF/?uri=CELEX:52023XC0721(01)" TargetMode="External"/><Relationship Id="rId42" Type="http://schemas.openxmlformats.org/officeDocument/2006/relationships/hyperlink" Target="https://www.ams.usda.gov/about-ams/fair-competitive-seed"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pri.org/download?ac=9721" TargetMode="External"/><Relationship Id="rId29" Type="http://schemas.openxmlformats.org/officeDocument/2006/relationships/hyperlink" Target="https://assets.publishing.service.gov.uk/media/6526b81b244f8e000d8e742c/Green_agreements_guidance_.pdf" TargetMode="External"/><Relationship Id="rId11" Type="http://schemas.openxmlformats.org/officeDocument/2006/relationships/hyperlink" Target="https://www.unpri.org/policy/a-legal-framework-for-impact/4519.article" TargetMode="External"/><Relationship Id="rId24" Type="http://schemas.openxmlformats.org/officeDocument/2006/relationships/hyperlink" Target="https://www.livingwage.nl/" TargetMode="External"/><Relationship Id="rId32" Type="http://schemas.openxmlformats.org/officeDocument/2006/relationships/hyperlink" Target="https://eur-lex.europa.eu/legal-content/EN/TXT/PDF/?uri=CELEX:52023XC0721(01)" TargetMode="External"/><Relationship Id="rId37" Type="http://schemas.openxmlformats.org/officeDocument/2006/relationships/hyperlink" Target="https://www.acm.nl/system/files/documents/guidelines-sustainability-claims_1.pdf" TargetMode="External"/><Relationship Id="rId40" Type="http://schemas.openxmlformats.org/officeDocument/2006/relationships/hyperlink" Target="https://www.gov.uk/government/publications/guidance-on-environmental-sustainability-agreements" TargetMode="External"/><Relationship Id="rId45" Type="http://schemas.openxmlformats.org/officeDocument/2006/relationships/hyperlink" Target="https://media.frc.org.uk/documents/The_UK_Stewardship_Code_2020.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nepfi.org/net-zero-alliance/" TargetMode="External"/><Relationship Id="rId31" Type="http://schemas.openxmlformats.org/officeDocument/2006/relationships/hyperlink" Target="https://www.gov.uk/government/publications/guidance-on-environmental-sustainability-agreements" TargetMode="External"/><Relationship Id="rId44" Type="http://schemas.openxmlformats.org/officeDocument/2006/relationships/hyperlink" Target="https://www.gov.uk/government/news/cma-launches-green-agreements-guidance-to-help-businesses-co-operate-on-environmental-goal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unepfi.org/wordpress/wp-content/uploads/2023/03/Aligning-Climate-Policy-Engagement-with-Net-Zero-Commitments.pdf" TargetMode="External"/><Relationship Id="rId27" Type="http://schemas.openxmlformats.org/officeDocument/2006/relationships/hyperlink" Target="https://www.frc.org.uk/library/standards-codes-policy/stewardship/uk-stewardship-code/" TargetMode="External"/><Relationship Id="rId30" Type="http://schemas.openxmlformats.org/officeDocument/2006/relationships/hyperlink" Target="https://assets.publishing.service.gov.uk/media/6526b81b244f8e000d8e742c/Green_agreements_guidance_.pdf" TargetMode="External"/><Relationship Id="rId35" Type="http://schemas.openxmlformats.org/officeDocument/2006/relationships/hyperlink" Target="https://www.esma.europa.eu/sites/default/files/library/2015/11/2013-1645_esma_clarifies_shareholder_cooperation_in_takeover_situations.pdf" TargetMode="External"/><Relationship Id="rId43" Type="http://schemas.openxmlformats.org/officeDocument/2006/relationships/hyperlink" Target="https://ccgg.ca/stewardship-principles-endorsers/"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npri.org/download?ac=9721" TargetMode="External"/><Relationship Id="rId17" Type="http://schemas.openxmlformats.org/officeDocument/2006/relationships/hyperlink" Target="https://www.unpri.org/investment-tools/stewardship/advance" TargetMode="External"/><Relationship Id="rId25" Type="http://schemas.openxmlformats.org/officeDocument/2006/relationships/hyperlink" Target="https://www.unpri.org/policy/a-legal-framework-for-impact/4519.article" TargetMode="External"/><Relationship Id="rId33" Type="http://schemas.openxmlformats.org/officeDocument/2006/relationships/hyperlink" Target="https://www.gov.uk/government/publications/guidance-on-environmental-sustainability-agreements" TargetMode="External"/><Relationship Id="rId38" Type="http://schemas.openxmlformats.org/officeDocument/2006/relationships/hyperlink" Target="https://www.acm.nl/system/files/documents/guidelines-sustainability-claims_1.pdf" TargetMode="External"/><Relationship Id="rId46" Type="http://schemas.openxmlformats.org/officeDocument/2006/relationships/hyperlink" Target="https://www.sec.gov/files/rules/final/2023/33-11253.pdf" TargetMode="External"/><Relationship Id="rId20" Type="http://schemas.openxmlformats.org/officeDocument/2006/relationships/hyperlink" Target="https://www.unepfi.org/wordpress/wp-content/uploads/2023/11/NZAOA_Engagement-expectations_final.pdf" TargetMode="External"/><Relationship Id="rId41" Type="http://schemas.openxmlformats.org/officeDocument/2006/relationships/hyperlink" Target="https://www.ams.usda.gov/about-ams/fair-competitive-see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tropicalforestalliance.org/en/collective-action-agenda/finance/investors-policy-dialogue-on-deforestation-ipdd-initiative/" TargetMode="External"/><Relationship Id="rId28" Type="http://schemas.openxmlformats.org/officeDocument/2006/relationships/hyperlink" Target="https://www.frc.org.uk/library/standards-codes-policy/stewardship/uk-stewardship-code/" TargetMode="External"/><Relationship Id="rId36" Type="http://schemas.openxmlformats.org/officeDocument/2006/relationships/hyperlink" Target="https://www.esma.europa.eu/sites/default/files/library/2015/11/2013-1645_esma_clarifies_shareholder_cooperation_in_takeover_situations.pdf"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npri.org/investment-tools/stewardship/collaborative-engagements" TargetMode="External"/><Relationship Id="rId13" Type="http://schemas.openxmlformats.org/officeDocument/2006/relationships/hyperlink" Target="https://www.unpri.org/download?ac=13902" TargetMode="External"/><Relationship Id="rId18" Type="http://schemas.openxmlformats.org/officeDocument/2006/relationships/hyperlink" Target="https://journals.sagepub.com/doi/abs/10.1177/0007650312460012" TargetMode="External"/><Relationship Id="rId26" Type="http://schemas.openxmlformats.org/officeDocument/2006/relationships/hyperlink" Target="https://ccsi.columbia.edu/sites/default/files/content/docs/Antitrust-Sustainability-Landscape-Analysis.pdf" TargetMode="External"/><Relationship Id="rId3" Type="http://schemas.openxmlformats.org/officeDocument/2006/relationships/hyperlink" Target="https://www.unpri.org/pri-blog/modernising-modern-portfolio-theory/4765.article" TargetMode="External"/><Relationship Id="rId21" Type="http://schemas.openxmlformats.org/officeDocument/2006/relationships/hyperlink" Target="https://www.unpri.org/active-ownership-20/mn-collaborating-through-platform-living-wage-financials/8756.article" TargetMode="External"/><Relationship Id="rId7" Type="http://schemas.openxmlformats.org/officeDocument/2006/relationships/hyperlink" Target="https://www.unpri.org/policy/a-legal-framework-for-impact/4519.article" TargetMode="External"/><Relationship Id="rId12" Type="http://schemas.openxmlformats.org/officeDocument/2006/relationships/hyperlink" Target="https://www.icgn.org/sites/default/files/2021-05/1.ICGN%20Viewpoint%20on%20Systemic%20Risk.pdf" TargetMode="External"/><Relationship Id="rId17" Type="http://schemas.openxmlformats.org/officeDocument/2006/relationships/hyperlink" Target="https://www.unpri.org/download?ac=4156" TargetMode="External"/><Relationship Id="rId25" Type="http://schemas.openxmlformats.org/officeDocument/2006/relationships/hyperlink" Target="https://papers.ssrn.com/sol3/papers.cfm?abstract_id=4571804" TargetMode="External"/><Relationship Id="rId2" Type="http://schemas.openxmlformats.org/officeDocument/2006/relationships/hyperlink" Target="file:///C:\Users\kelly.krauter\Downloads\unpri.org\download%3fac=13902" TargetMode="External"/><Relationship Id="rId16" Type="http://schemas.openxmlformats.org/officeDocument/2006/relationships/hyperlink" Target="https://papers.ssrn.com/sol3/papers.cfm?abstract_id=4459549" TargetMode="External"/><Relationship Id="rId20" Type="http://schemas.openxmlformats.org/officeDocument/2006/relationships/hyperlink" Target="https://www.unpri.org/active-ownership-20/storebrand-asset-management-leading-the-investors-policy-dialogue-on-deforestation/9980.article" TargetMode="External"/><Relationship Id="rId1" Type="http://schemas.openxmlformats.org/officeDocument/2006/relationships/hyperlink" Target="file:///C:\Users\kelly.krauter\Downloads\unpri.org\download%3fac=13902" TargetMode="External"/><Relationship Id="rId6" Type="http://schemas.openxmlformats.org/officeDocument/2006/relationships/hyperlink" Target="https://www.unpri.org/download?ac=9721" TargetMode="External"/><Relationship Id="rId11" Type="http://schemas.openxmlformats.org/officeDocument/2006/relationships/hyperlink" Target="https://www3.weforum.org/docs/WEF_The_Global_Risks_Report_2022.pdf" TargetMode="External"/><Relationship Id="rId24" Type="http://schemas.openxmlformats.org/officeDocument/2006/relationships/hyperlink" Target="https://www.jdsupra.com/legalnews/antitrust-laws-and-esg-shareholder-5958445/" TargetMode="External"/><Relationship Id="rId5" Type="http://schemas.openxmlformats.org/officeDocument/2006/relationships/hyperlink" Target="https://www.frc.org.uk/getattachment/Investors/UK-Stewardship-Code/UK-Stewardship-Code-%E2%80%93-How-to-apply/Stewardship-Code-Application-and-Assessment-March-2022.pdf" TargetMode="External"/><Relationship Id="rId15" Type="http://schemas.openxmlformats.org/officeDocument/2006/relationships/hyperlink" Target="https://documents1.worldbank.org/curated/en/480171468315567893/pdf/WPS5095.pdf" TargetMode="External"/><Relationship Id="rId23" Type="http://schemas.openxmlformats.org/officeDocument/2006/relationships/hyperlink" Target="https://ccsi.columbia.edu/sites/default/files/content/docs/Antitrust-Sustainability-Landscape-Analysis.pdf" TargetMode="External"/><Relationship Id="rId28" Type="http://schemas.openxmlformats.org/officeDocument/2006/relationships/hyperlink" Target="https://www.gov.uk/government/publications/environmental-sustainability-and-the-uk-competition-and-consumer-regimes-cma-advice-to-the-government/environmental-sustainability-and-the-uk-competition-and-consumer-regimes-cma-advice-to-the-government" TargetMode="External"/><Relationship Id="rId10" Type="http://schemas.openxmlformats.org/officeDocument/2006/relationships/hyperlink" Target="https://www.unpri.org/collaborative-engagements/collaborative-sovereign-engagement-on-climate-change/10525.article" TargetMode="External"/><Relationship Id="rId19" Type="http://schemas.openxmlformats.org/officeDocument/2006/relationships/hyperlink" Target="https://www.climateaction100.org/wp-content/uploads/2023/01/CA-100-Progress-Update-2022-FINAL-2.pdf" TargetMode="External"/><Relationship Id="rId4" Type="http://schemas.openxmlformats.org/officeDocument/2006/relationships/hyperlink" Target="https://www.unpri.org/investment-tools/definitions-for-responsible-investment-approaches/11874.article" TargetMode="External"/><Relationship Id="rId9" Type="http://schemas.openxmlformats.org/officeDocument/2006/relationships/hyperlink" Target="https://www.unpri.org/collaborative-engagements/investor-initiative-for-sustainable-forests-engagement-results/9595.article" TargetMode="External"/><Relationship Id="rId14" Type="http://schemas.openxmlformats.org/officeDocument/2006/relationships/hyperlink" Target="https://www.unpri.org/download?ac=5875" TargetMode="External"/><Relationship Id="rId22" Type="http://schemas.openxmlformats.org/officeDocument/2006/relationships/hyperlink" Target="https://www.unpri.org/download?ac=13902" TargetMode="External"/><Relationship Id="rId27" Type="http://schemas.openxmlformats.org/officeDocument/2006/relationships/hyperlink" Target="https://competition-policy.ec.europa.eu/system/files/2023-06/2023_revised_horizontal_guidelines_en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sya.dmitracova\Downloads\PRI_template_202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576973A59CFF4E9925E16EAA0DDA20" ma:contentTypeVersion="18" ma:contentTypeDescription="Create a new document." ma:contentTypeScope="" ma:versionID="659c762cb1c650154c26a3653bb6973f">
  <xsd:schema xmlns:xsd="http://www.w3.org/2001/XMLSchema" xmlns:xs="http://www.w3.org/2001/XMLSchema" xmlns:p="http://schemas.microsoft.com/office/2006/metadata/properties" xmlns:ns2="4e2692e8-dc72-4dd6-ad79-6e3956b18ff7" xmlns:ns3="d1f2cb5e-90ed-446c-b55a-c8efd3225fcc" xmlns:ns4="22dc5aff-f6b8-4275-87d3-ccc397dd66b3" targetNamespace="http://schemas.microsoft.com/office/2006/metadata/properties" ma:root="true" ma:fieldsID="7d03eee957cb4583ee163602892558f1" ns2:_="" ns3:_="" ns4:_="">
    <xsd:import namespace="4e2692e8-dc72-4dd6-ad79-6e3956b18ff7"/>
    <xsd:import namespace="d1f2cb5e-90ed-446c-b55a-c8efd3225fcc"/>
    <xsd:import namespace="22dc5aff-f6b8-4275-87d3-ccc397dd66b3"/>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692e8-dc72-4dd6-ad79-6e3956b18f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c09748c-ffa1-40e6-81ea-584adcb248df}" ma:internalName="TaxCatchAll" ma:showField="CatchAllData" ma:web="d1f2cb5e-90ed-446c-b55a-c8efd3225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dc5aff-f6b8-4275-87d3-ccc397dd66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3e079f-49a6-4469-a386-52a810ba09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dc5aff-f6b8-4275-87d3-ccc397dd66b3">
      <Terms xmlns="http://schemas.microsoft.com/office/infopath/2007/PartnerControls"/>
    </lcf76f155ced4ddcb4097134ff3c332f>
    <TaxCatchAll xmlns="d1f2cb5e-90ed-446c-b55a-c8efd3225fcc" xsi:nil="true"/>
  </documentManagement>
</p:properties>
</file>

<file path=customXml/itemProps1.xml><?xml version="1.0" encoding="utf-8"?>
<ds:datastoreItem xmlns:ds="http://schemas.openxmlformats.org/officeDocument/2006/customXml" ds:itemID="{092BB3EC-AF66-4EEA-AD28-48ABD4C8A735}">
  <ds:schemaRefs>
    <ds:schemaRef ds:uri="http://schemas.microsoft.com/sharepoint/v3/contenttype/forms"/>
  </ds:schemaRefs>
</ds:datastoreItem>
</file>

<file path=customXml/itemProps2.xml><?xml version="1.0" encoding="utf-8"?>
<ds:datastoreItem xmlns:ds="http://schemas.openxmlformats.org/officeDocument/2006/customXml" ds:itemID="{2ECC5099-5375-4326-931F-C713C4B1E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692e8-dc72-4dd6-ad79-6e3956b18ff7"/>
    <ds:schemaRef ds:uri="d1f2cb5e-90ed-446c-b55a-c8efd3225fcc"/>
    <ds:schemaRef ds:uri="22dc5aff-f6b8-4275-87d3-ccc397dd6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98EDA-D5D6-4522-96B5-065B89FDF261}">
  <ds:schemaRefs>
    <ds:schemaRef ds:uri="http://schemas.openxmlformats.org/officeDocument/2006/bibliography"/>
  </ds:schemaRefs>
</ds:datastoreItem>
</file>

<file path=customXml/itemProps4.xml><?xml version="1.0" encoding="utf-8"?>
<ds:datastoreItem xmlns:ds="http://schemas.openxmlformats.org/officeDocument/2006/customXml" ds:itemID="{7B71F5B0-2CAE-4AD2-BE58-6C793C188849}">
  <ds:schemaRefs>
    <ds:schemaRef ds:uri="http://schemas.microsoft.com/office/2006/metadata/properties"/>
    <ds:schemaRef ds:uri="http://schemas.microsoft.com/office/infopath/2007/PartnerControls"/>
    <ds:schemaRef ds:uri="22dc5aff-f6b8-4275-87d3-ccc397dd66b3"/>
    <ds:schemaRef ds:uri="d1f2cb5e-90ed-446c-b55a-c8efd3225fcc"/>
  </ds:schemaRefs>
</ds:datastoreItem>
</file>

<file path=docProps/app.xml><?xml version="1.0" encoding="utf-8"?>
<Properties xmlns="http://schemas.openxmlformats.org/officeDocument/2006/extended-properties" xmlns:vt="http://schemas.openxmlformats.org/officeDocument/2006/docPropsVTypes">
  <Template>PRI_template_2021 (3)</Template>
  <TotalTime>13</TotalTime>
  <Pages>19</Pages>
  <Words>6702</Words>
  <Characters>40686</Characters>
  <Application>Microsoft Office Word</Application>
  <DocSecurity>0</DocSecurity>
  <Lines>598</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47193</CharactersWithSpaces>
  <SharedDoc>false</SharedDoc>
  <HLinks>
    <vt:vector size="444" baseType="variant">
      <vt:variant>
        <vt:i4>2818157</vt:i4>
      </vt:variant>
      <vt:variant>
        <vt:i4>147</vt:i4>
      </vt:variant>
      <vt:variant>
        <vt:i4>0</vt:i4>
      </vt:variant>
      <vt:variant>
        <vt:i4>5</vt:i4>
      </vt:variant>
      <vt:variant>
        <vt:lpwstr>https://www.sec.gov/files/rules/final/2023/33-11253.pdf</vt:lpwstr>
      </vt:variant>
      <vt:variant>
        <vt:lpwstr/>
      </vt:variant>
      <vt:variant>
        <vt:i4>6291492</vt:i4>
      </vt:variant>
      <vt:variant>
        <vt:i4>144</vt:i4>
      </vt:variant>
      <vt:variant>
        <vt:i4>0</vt:i4>
      </vt:variant>
      <vt:variant>
        <vt:i4>5</vt:i4>
      </vt:variant>
      <vt:variant>
        <vt:lpwstr>https://media.frc.org.uk/documents/The_UK_Stewardship_Code_2020.pdf</vt:lpwstr>
      </vt:variant>
      <vt:variant>
        <vt:lpwstr/>
      </vt:variant>
      <vt:variant>
        <vt:i4>2162735</vt:i4>
      </vt:variant>
      <vt:variant>
        <vt:i4>141</vt:i4>
      </vt:variant>
      <vt:variant>
        <vt:i4>0</vt:i4>
      </vt:variant>
      <vt:variant>
        <vt:i4>5</vt:i4>
      </vt:variant>
      <vt:variant>
        <vt:lpwstr>https://www.gov.uk/government/news/cma-launches-green-agreements-guidance-to-help-businesses-co-operate-on-environmental-goals</vt:lpwstr>
      </vt:variant>
      <vt:variant>
        <vt:lpwstr/>
      </vt:variant>
      <vt:variant>
        <vt:i4>1048642</vt:i4>
      </vt:variant>
      <vt:variant>
        <vt:i4>138</vt:i4>
      </vt:variant>
      <vt:variant>
        <vt:i4>0</vt:i4>
      </vt:variant>
      <vt:variant>
        <vt:i4>5</vt:i4>
      </vt:variant>
      <vt:variant>
        <vt:lpwstr>https://ccgg.ca/stewardship-principles-endorsers/</vt:lpwstr>
      </vt:variant>
      <vt:variant>
        <vt:lpwstr/>
      </vt:variant>
      <vt:variant>
        <vt:i4>6684705</vt:i4>
      </vt:variant>
      <vt:variant>
        <vt:i4>135</vt:i4>
      </vt:variant>
      <vt:variant>
        <vt:i4>0</vt:i4>
      </vt:variant>
      <vt:variant>
        <vt:i4>5</vt:i4>
      </vt:variant>
      <vt:variant>
        <vt:lpwstr>https://www.unpri.org/policy/a-legal-framework-for-impact/4519.article</vt:lpwstr>
      </vt:variant>
      <vt:variant>
        <vt:lpwstr/>
      </vt:variant>
      <vt:variant>
        <vt:i4>6684705</vt:i4>
      </vt:variant>
      <vt:variant>
        <vt:i4>132</vt:i4>
      </vt:variant>
      <vt:variant>
        <vt:i4>0</vt:i4>
      </vt:variant>
      <vt:variant>
        <vt:i4>5</vt:i4>
      </vt:variant>
      <vt:variant>
        <vt:lpwstr>https://www.unpri.org/policy/a-legal-framework-for-impact/4519.article</vt:lpwstr>
      </vt:variant>
      <vt:variant>
        <vt:lpwstr/>
      </vt:variant>
      <vt:variant>
        <vt:i4>6946918</vt:i4>
      </vt:variant>
      <vt:variant>
        <vt:i4>129</vt:i4>
      </vt:variant>
      <vt:variant>
        <vt:i4>0</vt:i4>
      </vt:variant>
      <vt:variant>
        <vt:i4>5</vt:i4>
      </vt:variant>
      <vt:variant>
        <vt:lpwstr>https://www.livingwage.nl/</vt:lpwstr>
      </vt:variant>
      <vt:variant>
        <vt:lpwstr/>
      </vt:variant>
      <vt:variant>
        <vt:i4>3997757</vt:i4>
      </vt:variant>
      <vt:variant>
        <vt:i4>126</vt:i4>
      </vt:variant>
      <vt:variant>
        <vt:i4>0</vt:i4>
      </vt:variant>
      <vt:variant>
        <vt:i4>5</vt:i4>
      </vt:variant>
      <vt:variant>
        <vt:lpwstr>https://www.tropicalforestalliance.org/en/collective-action-agenda/finance/investors-policy-dialogue-on-deforestation-ipdd-initiative/</vt:lpwstr>
      </vt:variant>
      <vt:variant>
        <vt:lpwstr/>
      </vt:variant>
      <vt:variant>
        <vt:i4>5439553</vt:i4>
      </vt:variant>
      <vt:variant>
        <vt:i4>123</vt:i4>
      </vt:variant>
      <vt:variant>
        <vt:i4>0</vt:i4>
      </vt:variant>
      <vt:variant>
        <vt:i4>5</vt:i4>
      </vt:variant>
      <vt:variant>
        <vt:lpwstr>https://www.unepfi.org/wordpress/wp-content/uploads/2023/03/Aligning-Climate-Policy-Engagement-with-Net-Zero-Commitments.pdf</vt:lpwstr>
      </vt:variant>
      <vt:variant>
        <vt:lpwstr/>
      </vt:variant>
      <vt:variant>
        <vt:i4>589844</vt:i4>
      </vt:variant>
      <vt:variant>
        <vt:i4>120</vt:i4>
      </vt:variant>
      <vt:variant>
        <vt:i4>0</vt:i4>
      </vt:variant>
      <vt:variant>
        <vt:i4>5</vt:i4>
      </vt:variant>
      <vt:variant>
        <vt:lpwstr>https://www.unepfi.org/wordpress/wp-content/uploads/2021/04/16-Elevating-Climate-Diligence-2.pdf</vt:lpwstr>
      </vt:variant>
      <vt:variant>
        <vt:lpwstr/>
      </vt:variant>
      <vt:variant>
        <vt:i4>2162729</vt:i4>
      </vt:variant>
      <vt:variant>
        <vt:i4>117</vt:i4>
      </vt:variant>
      <vt:variant>
        <vt:i4>0</vt:i4>
      </vt:variant>
      <vt:variant>
        <vt:i4>5</vt:i4>
      </vt:variant>
      <vt:variant>
        <vt:lpwstr>https://www.unepfi.org/wordpress/wp-content/uploads/2023/11/NZAOA_Engagement-expectations_final.pdf</vt:lpwstr>
      </vt:variant>
      <vt:variant>
        <vt:lpwstr/>
      </vt:variant>
      <vt:variant>
        <vt:i4>393224</vt:i4>
      </vt:variant>
      <vt:variant>
        <vt:i4>114</vt:i4>
      </vt:variant>
      <vt:variant>
        <vt:i4>0</vt:i4>
      </vt:variant>
      <vt:variant>
        <vt:i4>5</vt:i4>
      </vt:variant>
      <vt:variant>
        <vt:lpwstr>https://www.unepfi.org/net-zero-alliance/</vt:lpwstr>
      </vt:variant>
      <vt:variant>
        <vt:lpwstr/>
      </vt:variant>
      <vt:variant>
        <vt:i4>5111878</vt:i4>
      </vt:variant>
      <vt:variant>
        <vt:i4>111</vt:i4>
      </vt:variant>
      <vt:variant>
        <vt:i4>0</vt:i4>
      </vt:variant>
      <vt:variant>
        <vt:i4>5</vt:i4>
      </vt:variant>
      <vt:variant>
        <vt:lpwstr>https://www.climateaction100.org/</vt:lpwstr>
      </vt:variant>
      <vt:variant>
        <vt:lpwstr/>
      </vt:variant>
      <vt:variant>
        <vt:i4>3539048</vt:i4>
      </vt:variant>
      <vt:variant>
        <vt:i4>108</vt:i4>
      </vt:variant>
      <vt:variant>
        <vt:i4>0</vt:i4>
      </vt:variant>
      <vt:variant>
        <vt:i4>5</vt:i4>
      </vt:variant>
      <vt:variant>
        <vt:lpwstr>https://www.unpri.org/investment-tools/stewardship/advance</vt:lpwstr>
      </vt:variant>
      <vt:variant>
        <vt:lpwstr/>
      </vt:variant>
      <vt:variant>
        <vt:i4>6684705</vt:i4>
      </vt:variant>
      <vt:variant>
        <vt:i4>105</vt:i4>
      </vt:variant>
      <vt:variant>
        <vt:i4>0</vt:i4>
      </vt:variant>
      <vt:variant>
        <vt:i4>5</vt:i4>
      </vt:variant>
      <vt:variant>
        <vt:lpwstr>https://www.unpri.org/policy/a-legal-framework-for-impact/4519.article</vt:lpwstr>
      </vt:variant>
      <vt:variant>
        <vt:lpwstr/>
      </vt:variant>
      <vt:variant>
        <vt:i4>1114171</vt:i4>
      </vt:variant>
      <vt:variant>
        <vt:i4>98</vt:i4>
      </vt:variant>
      <vt:variant>
        <vt:i4>0</vt:i4>
      </vt:variant>
      <vt:variant>
        <vt:i4>5</vt:i4>
      </vt:variant>
      <vt:variant>
        <vt:lpwstr/>
      </vt:variant>
      <vt:variant>
        <vt:lpwstr>_Toc172287047</vt:lpwstr>
      </vt:variant>
      <vt:variant>
        <vt:i4>1114171</vt:i4>
      </vt:variant>
      <vt:variant>
        <vt:i4>92</vt:i4>
      </vt:variant>
      <vt:variant>
        <vt:i4>0</vt:i4>
      </vt:variant>
      <vt:variant>
        <vt:i4>5</vt:i4>
      </vt:variant>
      <vt:variant>
        <vt:lpwstr/>
      </vt:variant>
      <vt:variant>
        <vt:lpwstr>_Toc172287046</vt:lpwstr>
      </vt:variant>
      <vt:variant>
        <vt:i4>1114171</vt:i4>
      </vt:variant>
      <vt:variant>
        <vt:i4>86</vt:i4>
      </vt:variant>
      <vt:variant>
        <vt:i4>0</vt:i4>
      </vt:variant>
      <vt:variant>
        <vt:i4>5</vt:i4>
      </vt:variant>
      <vt:variant>
        <vt:lpwstr/>
      </vt:variant>
      <vt:variant>
        <vt:lpwstr>_Toc172287045</vt:lpwstr>
      </vt:variant>
      <vt:variant>
        <vt:i4>1114171</vt:i4>
      </vt:variant>
      <vt:variant>
        <vt:i4>80</vt:i4>
      </vt:variant>
      <vt:variant>
        <vt:i4>0</vt:i4>
      </vt:variant>
      <vt:variant>
        <vt:i4>5</vt:i4>
      </vt:variant>
      <vt:variant>
        <vt:lpwstr/>
      </vt:variant>
      <vt:variant>
        <vt:lpwstr>_Toc172287044</vt:lpwstr>
      </vt:variant>
      <vt:variant>
        <vt:i4>1114171</vt:i4>
      </vt:variant>
      <vt:variant>
        <vt:i4>74</vt:i4>
      </vt:variant>
      <vt:variant>
        <vt:i4>0</vt:i4>
      </vt:variant>
      <vt:variant>
        <vt:i4>5</vt:i4>
      </vt:variant>
      <vt:variant>
        <vt:lpwstr/>
      </vt:variant>
      <vt:variant>
        <vt:lpwstr>_Toc172287043</vt:lpwstr>
      </vt:variant>
      <vt:variant>
        <vt:i4>1114171</vt:i4>
      </vt:variant>
      <vt:variant>
        <vt:i4>68</vt:i4>
      </vt:variant>
      <vt:variant>
        <vt:i4>0</vt:i4>
      </vt:variant>
      <vt:variant>
        <vt:i4>5</vt:i4>
      </vt:variant>
      <vt:variant>
        <vt:lpwstr/>
      </vt:variant>
      <vt:variant>
        <vt:lpwstr>_Toc172287042</vt:lpwstr>
      </vt:variant>
      <vt:variant>
        <vt:i4>1114171</vt:i4>
      </vt:variant>
      <vt:variant>
        <vt:i4>62</vt:i4>
      </vt:variant>
      <vt:variant>
        <vt:i4>0</vt:i4>
      </vt:variant>
      <vt:variant>
        <vt:i4>5</vt:i4>
      </vt:variant>
      <vt:variant>
        <vt:lpwstr/>
      </vt:variant>
      <vt:variant>
        <vt:lpwstr>_Toc172287041</vt:lpwstr>
      </vt:variant>
      <vt:variant>
        <vt:i4>1114171</vt:i4>
      </vt:variant>
      <vt:variant>
        <vt:i4>56</vt:i4>
      </vt:variant>
      <vt:variant>
        <vt:i4>0</vt:i4>
      </vt:variant>
      <vt:variant>
        <vt:i4>5</vt:i4>
      </vt:variant>
      <vt:variant>
        <vt:lpwstr/>
      </vt:variant>
      <vt:variant>
        <vt:lpwstr>_Toc172287040</vt:lpwstr>
      </vt:variant>
      <vt:variant>
        <vt:i4>1441851</vt:i4>
      </vt:variant>
      <vt:variant>
        <vt:i4>50</vt:i4>
      </vt:variant>
      <vt:variant>
        <vt:i4>0</vt:i4>
      </vt:variant>
      <vt:variant>
        <vt:i4>5</vt:i4>
      </vt:variant>
      <vt:variant>
        <vt:lpwstr/>
      </vt:variant>
      <vt:variant>
        <vt:lpwstr>_Toc172287039</vt:lpwstr>
      </vt:variant>
      <vt:variant>
        <vt:i4>1441851</vt:i4>
      </vt:variant>
      <vt:variant>
        <vt:i4>44</vt:i4>
      </vt:variant>
      <vt:variant>
        <vt:i4>0</vt:i4>
      </vt:variant>
      <vt:variant>
        <vt:i4>5</vt:i4>
      </vt:variant>
      <vt:variant>
        <vt:lpwstr/>
      </vt:variant>
      <vt:variant>
        <vt:lpwstr>_Toc172287038</vt:lpwstr>
      </vt:variant>
      <vt:variant>
        <vt:i4>1441851</vt:i4>
      </vt:variant>
      <vt:variant>
        <vt:i4>38</vt:i4>
      </vt:variant>
      <vt:variant>
        <vt:i4>0</vt:i4>
      </vt:variant>
      <vt:variant>
        <vt:i4>5</vt:i4>
      </vt:variant>
      <vt:variant>
        <vt:lpwstr/>
      </vt:variant>
      <vt:variant>
        <vt:lpwstr>_Toc172287037</vt:lpwstr>
      </vt:variant>
      <vt:variant>
        <vt:i4>1441851</vt:i4>
      </vt:variant>
      <vt:variant>
        <vt:i4>32</vt:i4>
      </vt:variant>
      <vt:variant>
        <vt:i4>0</vt:i4>
      </vt:variant>
      <vt:variant>
        <vt:i4>5</vt:i4>
      </vt:variant>
      <vt:variant>
        <vt:lpwstr/>
      </vt:variant>
      <vt:variant>
        <vt:lpwstr>_Toc172287036</vt:lpwstr>
      </vt:variant>
      <vt:variant>
        <vt:i4>1441851</vt:i4>
      </vt:variant>
      <vt:variant>
        <vt:i4>26</vt:i4>
      </vt:variant>
      <vt:variant>
        <vt:i4>0</vt:i4>
      </vt:variant>
      <vt:variant>
        <vt:i4>5</vt:i4>
      </vt:variant>
      <vt:variant>
        <vt:lpwstr/>
      </vt:variant>
      <vt:variant>
        <vt:lpwstr>_Toc172287035</vt:lpwstr>
      </vt:variant>
      <vt:variant>
        <vt:i4>1441851</vt:i4>
      </vt:variant>
      <vt:variant>
        <vt:i4>20</vt:i4>
      </vt:variant>
      <vt:variant>
        <vt:i4>0</vt:i4>
      </vt:variant>
      <vt:variant>
        <vt:i4>5</vt:i4>
      </vt:variant>
      <vt:variant>
        <vt:lpwstr/>
      </vt:variant>
      <vt:variant>
        <vt:lpwstr>_Toc172287034</vt:lpwstr>
      </vt:variant>
      <vt:variant>
        <vt:i4>1441851</vt:i4>
      </vt:variant>
      <vt:variant>
        <vt:i4>14</vt:i4>
      </vt:variant>
      <vt:variant>
        <vt:i4>0</vt:i4>
      </vt:variant>
      <vt:variant>
        <vt:i4>5</vt:i4>
      </vt:variant>
      <vt:variant>
        <vt:lpwstr/>
      </vt:variant>
      <vt:variant>
        <vt:lpwstr>_Toc172287033</vt:lpwstr>
      </vt:variant>
      <vt:variant>
        <vt:i4>1441851</vt:i4>
      </vt:variant>
      <vt:variant>
        <vt:i4>8</vt:i4>
      </vt:variant>
      <vt:variant>
        <vt:i4>0</vt:i4>
      </vt:variant>
      <vt:variant>
        <vt:i4>5</vt:i4>
      </vt:variant>
      <vt:variant>
        <vt:lpwstr/>
      </vt:variant>
      <vt:variant>
        <vt:lpwstr>_Toc172287032</vt:lpwstr>
      </vt:variant>
      <vt:variant>
        <vt:i4>1441851</vt:i4>
      </vt:variant>
      <vt:variant>
        <vt:i4>2</vt:i4>
      </vt:variant>
      <vt:variant>
        <vt:i4>0</vt:i4>
      </vt:variant>
      <vt:variant>
        <vt:i4>5</vt:i4>
      </vt:variant>
      <vt:variant>
        <vt:lpwstr/>
      </vt:variant>
      <vt:variant>
        <vt:lpwstr>_Toc172287031</vt:lpwstr>
      </vt:variant>
      <vt:variant>
        <vt:i4>4128867</vt:i4>
      </vt:variant>
      <vt:variant>
        <vt:i4>81</vt:i4>
      </vt:variant>
      <vt:variant>
        <vt:i4>0</vt:i4>
      </vt:variant>
      <vt:variant>
        <vt:i4>5</vt:i4>
      </vt:variant>
      <vt:variant>
        <vt:lpwstr>https://www.gov.uk/government/publications/environmental-sustainability-and-the-uk-competition-and-consumer-regimes-cma-advice-to-the-government/environmental-sustainability-and-the-uk-competition-and-consumer-regimes-cma-advice-to-the-government</vt:lpwstr>
      </vt:variant>
      <vt:variant>
        <vt:lpwstr/>
      </vt:variant>
      <vt:variant>
        <vt:i4>2293774</vt:i4>
      </vt:variant>
      <vt:variant>
        <vt:i4>78</vt:i4>
      </vt:variant>
      <vt:variant>
        <vt:i4>0</vt:i4>
      </vt:variant>
      <vt:variant>
        <vt:i4>5</vt:i4>
      </vt:variant>
      <vt:variant>
        <vt:lpwstr>https://competition-policy.ec.europa.eu/system/files/2023-06/2023_revised_horizontal_guidelines_en_0.pdf</vt:lpwstr>
      </vt:variant>
      <vt:variant>
        <vt:lpwstr/>
      </vt:variant>
      <vt:variant>
        <vt:i4>6488121</vt:i4>
      </vt:variant>
      <vt:variant>
        <vt:i4>75</vt:i4>
      </vt:variant>
      <vt:variant>
        <vt:i4>0</vt:i4>
      </vt:variant>
      <vt:variant>
        <vt:i4>5</vt:i4>
      </vt:variant>
      <vt:variant>
        <vt:lpwstr>https://ccsi.columbia.edu/sites/default/files/content/docs/Antitrust-Sustainability-Landscape-Analysis.pdf</vt:lpwstr>
      </vt:variant>
      <vt:variant>
        <vt:lpwstr/>
      </vt:variant>
      <vt:variant>
        <vt:i4>3342405</vt:i4>
      </vt:variant>
      <vt:variant>
        <vt:i4>72</vt:i4>
      </vt:variant>
      <vt:variant>
        <vt:i4>0</vt:i4>
      </vt:variant>
      <vt:variant>
        <vt:i4>5</vt:i4>
      </vt:variant>
      <vt:variant>
        <vt:lpwstr>https://papers.ssrn.com/sol3/papers.cfm?abstract_id=4571804</vt:lpwstr>
      </vt:variant>
      <vt:variant>
        <vt:lpwstr/>
      </vt:variant>
      <vt:variant>
        <vt:i4>4587551</vt:i4>
      </vt:variant>
      <vt:variant>
        <vt:i4>69</vt:i4>
      </vt:variant>
      <vt:variant>
        <vt:i4>0</vt:i4>
      </vt:variant>
      <vt:variant>
        <vt:i4>5</vt:i4>
      </vt:variant>
      <vt:variant>
        <vt:lpwstr>https://www.jdsupra.com/legalnews/antitrust-laws-and-esg-shareholder-5958445/</vt:lpwstr>
      </vt:variant>
      <vt:variant>
        <vt:lpwstr/>
      </vt:variant>
      <vt:variant>
        <vt:i4>6488121</vt:i4>
      </vt:variant>
      <vt:variant>
        <vt:i4>66</vt:i4>
      </vt:variant>
      <vt:variant>
        <vt:i4>0</vt:i4>
      </vt:variant>
      <vt:variant>
        <vt:i4>5</vt:i4>
      </vt:variant>
      <vt:variant>
        <vt:lpwstr>https://ccsi.columbia.edu/sites/default/files/content/docs/Antitrust-Sustainability-Landscape-Analysis.pdf</vt:lpwstr>
      </vt:variant>
      <vt:variant>
        <vt:lpwstr/>
      </vt:variant>
      <vt:variant>
        <vt:i4>7471214</vt:i4>
      </vt:variant>
      <vt:variant>
        <vt:i4>63</vt:i4>
      </vt:variant>
      <vt:variant>
        <vt:i4>0</vt:i4>
      </vt:variant>
      <vt:variant>
        <vt:i4>5</vt:i4>
      </vt:variant>
      <vt:variant>
        <vt:lpwstr>https://www.unpri.org/download?ac=13902</vt:lpwstr>
      </vt:variant>
      <vt:variant>
        <vt:lpwstr/>
      </vt:variant>
      <vt:variant>
        <vt:i4>7995434</vt:i4>
      </vt:variant>
      <vt:variant>
        <vt:i4>60</vt:i4>
      </vt:variant>
      <vt:variant>
        <vt:i4>0</vt:i4>
      </vt:variant>
      <vt:variant>
        <vt:i4>5</vt:i4>
      </vt:variant>
      <vt:variant>
        <vt:lpwstr>https://www.unpri.org/active-ownership-20/mn-collaborating-through-platform-living-wage-financials/8756.article</vt:lpwstr>
      </vt:variant>
      <vt:variant>
        <vt:lpwstr/>
      </vt:variant>
      <vt:variant>
        <vt:i4>4849757</vt:i4>
      </vt:variant>
      <vt:variant>
        <vt:i4>57</vt:i4>
      </vt:variant>
      <vt:variant>
        <vt:i4>0</vt:i4>
      </vt:variant>
      <vt:variant>
        <vt:i4>5</vt:i4>
      </vt:variant>
      <vt:variant>
        <vt:lpwstr>https://www.unpri.org/active-ownership-20/storebrand-asset-management-leading-the-investors-policy-dialogue-on-deforestation/9980.article</vt:lpwstr>
      </vt:variant>
      <vt:variant>
        <vt:lpwstr/>
      </vt:variant>
      <vt:variant>
        <vt:i4>6488108</vt:i4>
      </vt:variant>
      <vt:variant>
        <vt:i4>54</vt:i4>
      </vt:variant>
      <vt:variant>
        <vt:i4>0</vt:i4>
      </vt:variant>
      <vt:variant>
        <vt:i4>5</vt:i4>
      </vt:variant>
      <vt:variant>
        <vt:lpwstr>https://www.climateaction100.org/wp-content/uploads/2023/01/CA-100-Progress-Update-2022-FINAL-2.pdf</vt:lpwstr>
      </vt:variant>
      <vt:variant>
        <vt:lpwstr/>
      </vt:variant>
      <vt:variant>
        <vt:i4>84</vt:i4>
      </vt:variant>
      <vt:variant>
        <vt:i4>51</vt:i4>
      </vt:variant>
      <vt:variant>
        <vt:i4>0</vt:i4>
      </vt:variant>
      <vt:variant>
        <vt:i4>5</vt:i4>
      </vt:variant>
      <vt:variant>
        <vt:lpwstr>https://journals.sagepub.com/doi/abs/10.1177/0007650312460012</vt:lpwstr>
      </vt:variant>
      <vt:variant>
        <vt:lpwstr>:~:text=This%20article%20analyzes%20the%20process,with%20corporations%20on%20environmental%2C%20social%2C</vt:lpwstr>
      </vt:variant>
      <vt:variant>
        <vt:i4>7733351</vt:i4>
      </vt:variant>
      <vt:variant>
        <vt:i4>48</vt:i4>
      </vt:variant>
      <vt:variant>
        <vt:i4>0</vt:i4>
      </vt:variant>
      <vt:variant>
        <vt:i4>5</vt:i4>
      </vt:variant>
      <vt:variant>
        <vt:lpwstr>https://www.unpri.org/download?ac=4156</vt:lpwstr>
      </vt:variant>
      <vt:variant>
        <vt:lpwstr/>
      </vt:variant>
      <vt:variant>
        <vt:i4>4063306</vt:i4>
      </vt:variant>
      <vt:variant>
        <vt:i4>45</vt:i4>
      </vt:variant>
      <vt:variant>
        <vt:i4>0</vt:i4>
      </vt:variant>
      <vt:variant>
        <vt:i4>5</vt:i4>
      </vt:variant>
      <vt:variant>
        <vt:lpwstr>https://papers.ssrn.com/sol3/papers.cfm?abstract_id=4459549</vt:lpwstr>
      </vt:variant>
      <vt:variant>
        <vt:lpwstr/>
      </vt:variant>
      <vt:variant>
        <vt:i4>3604530</vt:i4>
      </vt:variant>
      <vt:variant>
        <vt:i4>42</vt:i4>
      </vt:variant>
      <vt:variant>
        <vt:i4>0</vt:i4>
      </vt:variant>
      <vt:variant>
        <vt:i4>5</vt:i4>
      </vt:variant>
      <vt:variant>
        <vt:lpwstr>https://documents1.worldbank.org/curated/en/480171468315567893/pdf/WPS5095.pdf</vt:lpwstr>
      </vt:variant>
      <vt:variant>
        <vt:lpwstr/>
      </vt:variant>
      <vt:variant>
        <vt:i4>8126564</vt:i4>
      </vt:variant>
      <vt:variant>
        <vt:i4>39</vt:i4>
      </vt:variant>
      <vt:variant>
        <vt:i4>0</vt:i4>
      </vt:variant>
      <vt:variant>
        <vt:i4>5</vt:i4>
      </vt:variant>
      <vt:variant>
        <vt:lpwstr>https://www.unpri.org/download?ac=5875</vt:lpwstr>
      </vt:variant>
      <vt:variant>
        <vt:lpwstr/>
      </vt:variant>
      <vt:variant>
        <vt:i4>7471214</vt:i4>
      </vt:variant>
      <vt:variant>
        <vt:i4>36</vt:i4>
      </vt:variant>
      <vt:variant>
        <vt:i4>0</vt:i4>
      </vt:variant>
      <vt:variant>
        <vt:i4>5</vt:i4>
      </vt:variant>
      <vt:variant>
        <vt:lpwstr>https://www.unpri.org/download?ac=13902</vt:lpwstr>
      </vt:variant>
      <vt:variant>
        <vt:lpwstr/>
      </vt:variant>
      <vt:variant>
        <vt:i4>2949182</vt:i4>
      </vt:variant>
      <vt:variant>
        <vt:i4>33</vt:i4>
      </vt:variant>
      <vt:variant>
        <vt:i4>0</vt:i4>
      </vt:variant>
      <vt:variant>
        <vt:i4>5</vt:i4>
      </vt:variant>
      <vt:variant>
        <vt:lpwstr>https://www.icgn.org/sites/default/files/2021-05/1.ICGN Viewpoint on Systemic Risk.pdf</vt:lpwstr>
      </vt:variant>
      <vt:variant>
        <vt:lpwstr/>
      </vt:variant>
      <vt:variant>
        <vt:i4>6094881</vt:i4>
      </vt:variant>
      <vt:variant>
        <vt:i4>30</vt:i4>
      </vt:variant>
      <vt:variant>
        <vt:i4>0</vt:i4>
      </vt:variant>
      <vt:variant>
        <vt:i4>5</vt:i4>
      </vt:variant>
      <vt:variant>
        <vt:lpwstr>https://www3.weforum.org/docs/WEF_The_Global_Risks_Report_2022.pdf</vt:lpwstr>
      </vt:variant>
      <vt:variant>
        <vt:lpwstr/>
      </vt:variant>
      <vt:variant>
        <vt:i4>7733371</vt:i4>
      </vt:variant>
      <vt:variant>
        <vt:i4>27</vt:i4>
      </vt:variant>
      <vt:variant>
        <vt:i4>0</vt:i4>
      </vt:variant>
      <vt:variant>
        <vt:i4>5</vt:i4>
      </vt:variant>
      <vt:variant>
        <vt:lpwstr>https://www.unpri.org/collaborative-engagements/collaborative-sovereign-engagement-on-climate-change/10525.article</vt:lpwstr>
      </vt:variant>
      <vt:variant>
        <vt:lpwstr/>
      </vt:variant>
      <vt:variant>
        <vt:i4>6357114</vt:i4>
      </vt:variant>
      <vt:variant>
        <vt:i4>24</vt:i4>
      </vt:variant>
      <vt:variant>
        <vt:i4>0</vt:i4>
      </vt:variant>
      <vt:variant>
        <vt:i4>5</vt:i4>
      </vt:variant>
      <vt:variant>
        <vt:lpwstr>https://www.unpri.org/collaborative-engagements/investor-initiative-for-sustainable-forests-engagement-results/9595.article</vt:lpwstr>
      </vt:variant>
      <vt:variant>
        <vt:lpwstr/>
      </vt:variant>
      <vt:variant>
        <vt:i4>5439561</vt:i4>
      </vt:variant>
      <vt:variant>
        <vt:i4>21</vt:i4>
      </vt:variant>
      <vt:variant>
        <vt:i4>0</vt:i4>
      </vt:variant>
      <vt:variant>
        <vt:i4>5</vt:i4>
      </vt:variant>
      <vt:variant>
        <vt:lpwstr>https://www.unpri.org/investment-tools/stewardship/collaborative-engagements</vt:lpwstr>
      </vt:variant>
      <vt:variant>
        <vt:lpwstr/>
      </vt:variant>
      <vt:variant>
        <vt:i4>6684705</vt:i4>
      </vt:variant>
      <vt:variant>
        <vt:i4>18</vt:i4>
      </vt:variant>
      <vt:variant>
        <vt:i4>0</vt:i4>
      </vt:variant>
      <vt:variant>
        <vt:i4>5</vt:i4>
      </vt:variant>
      <vt:variant>
        <vt:lpwstr>https://www.unpri.org/policy/a-legal-framework-for-impact/4519.article</vt:lpwstr>
      </vt:variant>
      <vt:variant>
        <vt:lpwstr/>
      </vt:variant>
      <vt:variant>
        <vt:i4>7798893</vt:i4>
      </vt:variant>
      <vt:variant>
        <vt:i4>15</vt:i4>
      </vt:variant>
      <vt:variant>
        <vt:i4>0</vt:i4>
      </vt:variant>
      <vt:variant>
        <vt:i4>5</vt:i4>
      </vt:variant>
      <vt:variant>
        <vt:lpwstr>https://www.unpri.org/download?ac=9721</vt:lpwstr>
      </vt:variant>
      <vt:variant>
        <vt:lpwstr/>
      </vt:variant>
      <vt:variant>
        <vt:i4>4390987</vt:i4>
      </vt:variant>
      <vt:variant>
        <vt:i4>12</vt:i4>
      </vt:variant>
      <vt:variant>
        <vt:i4>0</vt:i4>
      </vt:variant>
      <vt:variant>
        <vt:i4>5</vt:i4>
      </vt:variant>
      <vt:variant>
        <vt:lpwstr>https://www.frc.org.uk/getattachment/Investors/UK-Stewardship-Code/UK-Stewardship-Code-%E2%80%93-How-to-apply/Stewardship-Code-Application-and-Assessment-March-2022.pdf</vt:lpwstr>
      </vt:variant>
      <vt:variant>
        <vt:lpwstr/>
      </vt:variant>
      <vt:variant>
        <vt:i4>4128882</vt:i4>
      </vt:variant>
      <vt:variant>
        <vt:i4>9</vt:i4>
      </vt:variant>
      <vt:variant>
        <vt:i4>0</vt:i4>
      </vt:variant>
      <vt:variant>
        <vt:i4>5</vt:i4>
      </vt:variant>
      <vt:variant>
        <vt:lpwstr>https://www.unpri.org/investment-tools/definitions-for-responsible-investment-approaches/11874.article</vt:lpwstr>
      </vt:variant>
      <vt:variant>
        <vt:lpwstr/>
      </vt:variant>
      <vt:variant>
        <vt:i4>2883696</vt:i4>
      </vt:variant>
      <vt:variant>
        <vt:i4>6</vt:i4>
      </vt:variant>
      <vt:variant>
        <vt:i4>0</vt:i4>
      </vt:variant>
      <vt:variant>
        <vt:i4>5</vt:i4>
      </vt:variant>
      <vt:variant>
        <vt:lpwstr>https://www.unpri.org/pri-blog/modernising-modern-portfolio-theory/4765.article</vt:lpwstr>
      </vt:variant>
      <vt:variant>
        <vt:lpwstr/>
      </vt:variant>
      <vt:variant>
        <vt:i4>5898340</vt:i4>
      </vt:variant>
      <vt:variant>
        <vt:i4>3</vt:i4>
      </vt:variant>
      <vt:variant>
        <vt:i4>0</vt:i4>
      </vt:variant>
      <vt:variant>
        <vt:i4>5</vt:i4>
      </vt:variant>
      <vt:variant>
        <vt:lpwstr>C:\Users\kelly.krauter\Downloads\unpri.org\download?ac=13902</vt:lpwstr>
      </vt:variant>
      <vt:variant>
        <vt:lpwstr/>
      </vt:variant>
      <vt:variant>
        <vt:i4>5898340</vt:i4>
      </vt:variant>
      <vt:variant>
        <vt:i4>0</vt:i4>
      </vt:variant>
      <vt:variant>
        <vt:i4>0</vt:i4>
      </vt:variant>
      <vt:variant>
        <vt:i4>5</vt:i4>
      </vt:variant>
      <vt:variant>
        <vt:lpwstr>C:\Users\kelly.krauter\Downloads\unpri.org\download?ac=13902</vt:lpwstr>
      </vt:variant>
      <vt:variant>
        <vt:lpwstr/>
      </vt:variant>
      <vt:variant>
        <vt:i4>721011</vt:i4>
      </vt:variant>
      <vt:variant>
        <vt:i4>6</vt:i4>
      </vt:variant>
      <vt:variant>
        <vt:i4>0</vt:i4>
      </vt:variant>
      <vt:variant>
        <vt:i4>5</vt:i4>
      </vt:variant>
      <vt:variant>
        <vt:lpwstr>mailto:margarita.pirovska@unpri.org</vt:lpwstr>
      </vt:variant>
      <vt:variant>
        <vt:lpwstr/>
      </vt:variant>
      <vt:variant>
        <vt:i4>7208970</vt:i4>
      </vt:variant>
      <vt:variant>
        <vt:i4>3</vt:i4>
      </vt:variant>
      <vt:variant>
        <vt:i4>0</vt:i4>
      </vt:variant>
      <vt:variant>
        <vt:i4>5</vt:i4>
      </vt:variant>
      <vt:variant>
        <vt:lpwstr>mailto:junru.liu@unpri.org</vt:lpwstr>
      </vt:variant>
      <vt:variant>
        <vt:lpwstr/>
      </vt:variant>
      <vt:variant>
        <vt:i4>7208970</vt:i4>
      </vt:variant>
      <vt:variant>
        <vt:i4>0</vt:i4>
      </vt:variant>
      <vt:variant>
        <vt:i4>0</vt:i4>
      </vt:variant>
      <vt:variant>
        <vt:i4>5</vt:i4>
      </vt:variant>
      <vt:variant>
        <vt:lpwstr>mailto:junru.liu@unpri.org</vt:lpwstr>
      </vt:variant>
      <vt:variant>
        <vt:lpwstr/>
      </vt:variant>
      <vt:variant>
        <vt:i4>458846</vt:i4>
      </vt:variant>
      <vt:variant>
        <vt:i4>30</vt:i4>
      </vt:variant>
      <vt:variant>
        <vt:i4>0</vt:i4>
      </vt:variant>
      <vt:variant>
        <vt:i4>5</vt:i4>
      </vt:variant>
      <vt:variant>
        <vt:lpwstr>https://www.ams.usda.gov/about-ams/fair-competitive-seed</vt:lpwstr>
      </vt:variant>
      <vt:variant>
        <vt:lpwstr/>
      </vt:variant>
      <vt:variant>
        <vt:i4>2621476</vt:i4>
      </vt:variant>
      <vt:variant>
        <vt:i4>27</vt:i4>
      </vt:variant>
      <vt:variant>
        <vt:i4>0</vt:i4>
      </vt:variant>
      <vt:variant>
        <vt:i4>5</vt:i4>
      </vt:variant>
      <vt:variant>
        <vt:lpwstr>https://www.gov.uk/government/publications/guidance-on-environmental-sustainability-agreements</vt:lpwstr>
      </vt:variant>
      <vt:variant>
        <vt:lpwstr/>
      </vt:variant>
      <vt:variant>
        <vt:i4>5046307</vt:i4>
      </vt:variant>
      <vt:variant>
        <vt:i4>24</vt:i4>
      </vt:variant>
      <vt:variant>
        <vt:i4>0</vt:i4>
      </vt:variant>
      <vt:variant>
        <vt:i4>5</vt:i4>
      </vt:variant>
      <vt:variant>
        <vt:lpwstr>https://www.acm.nl/system/files/documents/guidelines-sustainability-claims_1.pdf</vt:lpwstr>
      </vt:variant>
      <vt:variant>
        <vt:lpwstr/>
      </vt:variant>
      <vt:variant>
        <vt:i4>1048683</vt:i4>
      </vt:variant>
      <vt:variant>
        <vt:i4>21</vt:i4>
      </vt:variant>
      <vt:variant>
        <vt:i4>0</vt:i4>
      </vt:variant>
      <vt:variant>
        <vt:i4>5</vt:i4>
      </vt:variant>
      <vt:variant>
        <vt:lpwstr>https://www.esma.europa.eu/sites/default/files/library/2015/11/2013-1645_esma_clarifies_shareholder_cooperation_in_takeover_situations.pdf</vt:lpwstr>
      </vt:variant>
      <vt:variant>
        <vt:lpwstr/>
      </vt:variant>
      <vt:variant>
        <vt:i4>1048578</vt:i4>
      </vt:variant>
      <vt:variant>
        <vt:i4>18</vt:i4>
      </vt:variant>
      <vt:variant>
        <vt:i4>0</vt:i4>
      </vt:variant>
      <vt:variant>
        <vt:i4>5</vt:i4>
      </vt:variant>
      <vt:variant>
        <vt:lpwstr>https://eur-lex.europa.eu/legal-content/EN/TXT/PDF/?uri=CELEX:52023XC0721(01)</vt:lpwstr>
      </vt:variant>
      <vt:variant>
        <vt:lpwstr>:~:text=Article%20101%20aims%20to%20ensure,undertakings%20and%20associations%20of%20undertakings.</vt:lpwstr>
      </vt:variant>
      <vt:variant>
        <vt:i4>2621476</vt:i4>
      </vt:variant>
      <vt:variant>
        <vt:i4>15</vt:i4>
      </vt:variant>
      <vt:variant>
        <vt:i4>0</vt:i4>
      </vt:variant>
      <vt:variant>
        <vt:i4>5</vt:i4>
      </vt:variant>
      <vt:variant>
        <vt:lpwstr>https://www.gov.uk/government/publications/guidance-on-environmental-sustainability-agreements</vt:lpwstr>
      </vt:variant>
      <vt:variant>
        <vt:lpwstr/>
      </vt:variant>
      <vt:variant>
        <vt:i4>1048578</vt:i4>
      </vt:variant>
      <vt:variant>
        <vt:i4>12</vt:i4>
      </vt:variant>
      <vt:variant>
        <vt:i4>0</vt:i4>
      </vt:variant>
      <vt:variant>
        <vt:i4>5</vt:i4>
      </vt:variant>
      <vt:variant>
        <vt:lpwstr>https://eur-lex.europa.eu/legal-content/EN/TXT/PDF/?uri=CELEX:52023XC0721(01)</vt:lpwstr>
      </vt:variant>
      <vt:variant>
        <vt:lpwstr>:~:text=Article%20101%20aims%20to%20ensure,undertakings%20and%20associations%20of%20undertakings.</vt:lpwstr>
      </vt:variant>
      <vt:variant>
        <vt:i4>4128773</vt:i4>
      </vt:variant>
      <vt:variant>
        <vt:i4>9</vt:i4>
      </vt:variant>
      <vt:variant>
        <vt:i4>0</vt:i4>
      </vt:variant>
      <vt:variant>
        <vt:i4>5</vt:i4>
      </vt:variant>
      <vt:variant>
        <vt:lpwstr>https://assets.publishing.service.gov.uk/media/6526b81b244f8e000d8e742c/Green_agreements_guidance_.pdf</vt:lpwstr>
      </vt:variant>
      <vt:variant>
        <vt:lpwstr/>
      </vt:variant>
      <vt:variant>
        <vt:i4>2621476</vt:i4>
      </vt:variant>
      <vt:variant>
        <vt:i4>6</vt:i4>
      </vt:variant>
      <vt:variant>
        <vt:i4>0</vt:i4>
      </vt:variant>
      <vt:variant>
        <vt:i4>5</vt:i4>
      </vt:variant>
      <vt:variant>
        <vt:lpwstr>https://www.gov.uk/government/publications/guidance-on-environmental-sustainability-agreements</vt:lpwstr>
      </vt:variant>
      <vt:variant>
        <vt:lpwstr/>
      </vt:variant>
      <vt:variant>
        <vt:i4>6946852</vt:i4>
      </vt:variant>
      <vt:variant>
        <vt:i4>3</vt:i4>
      </vt:variant>
      <vt:variant>
        <vt:i4>0</vt:i4>
      </vt:variant>
      <vt:variant>
        <vt:i4>5</vt:i4>
      </vt:variant>
      <vt:variant>
        <vt:lpwstr>https://www.frc.org.uk/library/standards-codes-policy/stewardship/uk-stewardship-code/</vt:lpwstr>
      </vt:variant>
      <vt:variant>
        <vt:lpwstr/>
      </vt:variant>
      <vt:variant>
        <vt:i4>7798893</vt:i4>
      </vt:variant>
      <vt:variant>
        <vt:i4>0</vt:i4>
      </vt:variant>
      <vt:variant>
        <vt:i4>0</vt:i4>
      </vt:variant>
      <vt:variant>
        <vt:i4>5</vt:i4>
      </vt:variant>
      <vt:variant>
        <vt:lpwstr>https://www.unpri.org/download?ac=9721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 Dmitracova</dc:creator>
  <cp:keywords/>
  <dc:description/>
  <cp:lastModifiedBy>Junru Liu</cp:lastModifiedBy>
  <cp:revision>4</cp:revision>
  <dcterms:created xsi:type="dcterms:W3CDTF">2024-07-23T14:21:00Z</dcterms:created>
  <dcterms:modified xsi:type="dcterms:W3CDTF">2024-07-23T14:52:00Z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0x010100EF576973A59CFF4E9925E16EAA0DDA20</vt:lpwstr>
  </property>
  <property fmtid="{D5CDD505-2E9C-101B-9397-08002B2CF9AE}" pid="3" name="MediaServiceImageTags">
    <vt:lpwstr/>
  </property>
  <property fmtid="{D5CDD505-2E9C-101B-9397-08002B2CF9AE}" pid="4" name="GrammarlyDocumentId">
    <vt:lpwstr>8b86752c7e04a5f035cec114b677421bc01cb9a914e523db4f46e33cb75012ce</vt:lpwstr>
  </property>
</Properties>
</file>